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F1C8C">
      <w:pPr>
        <w:pStyle w:val="2"/>
        <w:ind w:right="-174" w:rightChars="-83"/>
        <w:jc w:val="center"/>
        <w:outlineLvl w:val="0"/>
        <w:rPr>
          <w:rFonts w:hint="eastAsia" w:ascii="Times New Roman" w:hAnsi="Times New Roman" w:eastAsia="方正小标宋简体" w:cs="Times New Roman"/>
          <w:spacing w:val="-6"/>
          <w:sz w:val="44"/>
          <w:szCs w:val="44"/>
          <w:lang w:eastAsia="zh-CN"/>
        </w:rPr>
      </w:pPr>
      <w:r>
        <w:rPr>
          <w:rFonts w:hint="eastAsia" w:ascii="Times New Roman" w:hAnsi="Times New Roman" w:eastAsia="方正小标宋简体" w:cs="Times New Roman"/>
          <w:spacing w:val="-6"/>
          <w:sz w:val="44"/>
          <w:szCs w:val="44"/>
          <w:lang w:eastAsia="zh-CN"/>
        </w:rPr>
        <w:t>金宏视频会议系统运行维护保障服务项目（2026）询价要素</w:t>
      </w:r>
    </w:p>
    <w:p w14:paraId="453B9BEC">
      <w:pPr>
        <w:pStyle w:val="2"/>
        <w:spacing w:line="590" w:lineRule="exact"/>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一、项目名称：</w:t>
      </w:r>
      <w:r>
        <w:rPr>
          <w:rFonts w:hint="eastAsia" w:ascii="Times New Roman" w:hAnsi="Times New Roman" w:eastAsia="仿宋_GB2312" w:cs="Times New Roman"/>
          <w:spacing w:val="5"/>
          <w:sz w:val="32"/>
          <w:szCs w:val="32"/>
          <w:lang w:eastAsia="zh-CN"/>
        </w:rPr>
        <w:t>金宏视频会议系统运行维护保障服务项目（2026）</w:t>
      </w:r>
    </w:p>
    <w:p w14:paraId="2D80710C">
      <w:pPr>
        <w:kinsoku/>
        <w:autoSpaceDE/>
        <w:autoSpaceDN/>
        <w:adjustRightInd/>
        <w:snapToGrid/>
        <w:jc w:val="both"/>
        <w:textAlignment w:val="auto"/>
        <w:rPr>
          <w:rFonts w:ascii="Times New Roman" w:hAnsi="Times New Roman" w:eastAsia="黑体" w:cs="Times New Roman"/>
          <w:snapToGrid/>
          <w:sz w:val="28"/>
          <w:szCs w:val="28"/>
          <w:lang w:eastAsia="zh-CN"/>
        </w:rPr>
      </w:pPr>
      <w:r>
        <w:rPr>
          <w:rFonts w:ascii="Times New Roman" w:hAnsi="Times New Roman" w:eastAsia="仿宋_GB2312" w:cs="Times New Roman"/>
          <w:spacing w:val="5"/>
          <w:sz w:val="32"/>
          <w:szCs w:val="32"/>
          <w:lang w:eastAsia="zh-CN"/>
        </w:rPr>
        <w:t>二、采购需求</w:t>
      </w:r>
    </w:p>
    <w:tbl>
      <w:tblPr>
        <w:tblStyle w:val="3"/>
        <w:tblW w:w="55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0" w:type="dxa"/>
          <w:right w:w="108" w:type="dxa"/>
        </w:tblCellMar>
      </w:tblPr>
      <w:tblGrid>
        <w:gridCol w:w="456"/>
        <w:gridCol w:w="851"/>
        <w:gridCol w:w="8158"/>
      </w:tblGrid>
      <w:tr w14:paraId="4D10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75" w:hRule="atLeast"/>
        </w:trPr>
        <w:tc>
          <w:tcPr>
            <w:tcW w:w="240" w:type="pct"/>
            <w:vAlign w:val="center"/>
          </w:tcPr>
          <w:p w14:paraId="1A092CB3">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序号</w:t>
            </w:r>
          </w:p>
        </w:tc>
        <w:tc>
          <w:tcPr>
            <w:tcW w:w="450" w:type="pct"/>
            <w:vAlign w:val="center"/>
          </w:tcPr>
          <w:p w14:paraId="6D047DDB">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询价要素</w:t>
            </w:r>
          </w:p>
        </w:tc>
        <w:tc>
          <w:tcPr>
            <w:tcW w:w="4309" w:type="pct"/>
            <w:vAlign w:val="center"/>
          </w:tcPr>
          <w:p w14:paraId="70E99BEF">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采购需求</w:t>
            </w:r>
          </w:p>
        </w:tc>
      </w:tr>
      <w:tr w14:paraId="4D25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855" w:hRule="atLeast"/>
        </w:trPr>
        <w:tc>
          <w:tcPr>
            <w:tcW w:w="240" w:type="pct"/>
            <w:vAlign w:val="center"/>
          </w:tcPr>
          <w:p w14:paraId="7F309848">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1</w:t>
            </w:r>
          </w:p>
        </w:tc>
        <w:tc>
          <w:tcPr>
            <w:tcW w:w="450" w:type="pct"/>
            <w:vAlign w:val="center"/>
          </w:tcPr>
          <w:p w14:paraId="064F0DFA">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采购目标与用途</w:t>
            </w:r>
          </w:p>
        </w:tc>
        <w:tc>
          <w:tcPr>
            <w:tcW w:w="4309" w:type="pct"/>
            <w:vAlign w:val="center"/>
          </w:tcPr>
          <w:p w14:paraId="7ADE860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按照市发展改革委有关要求，为确保市发展改革委视频会议系统设备设施正常稳定运行，需要对设备设施进行定期巡检和联调联试，并解决设备设施在使用过程中出现的各种故障和问题。根据工作实际，需要委托专业视频会议服务方提供视频会议维保服务。</w:t>
            </w:r>
          </w:p>
        </w:tc>
      </w:tr>
      <w:tr w14:paraId="0A64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240" w:type="pct"/>
            <w:vMerge w:val="restart"/>
            <w:vAlign w:val="center"/>
          </w:tcPr>
          <w:p w14:paraId="3641F7CA">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2</w:t>
            </w:r>
          </w:p>
        </w:tc>
        <w:tc>
          <w:tcPr>
            <w:tcW w:w="450" w:type="pct"/>
            <w:vMerge w:val="restart"/>
            <w:vAlign w:val="center"/>
          </w:tcPr>
          <w:p w14:paraId="1BCBD3A1">
            <w:pPr>
              <w:kinsoku/>
              <w:autoSpaceDE/>
              <w:autoSpaceDN/>
              <w:adjustRightInd/>
              <w:snapToGrid/>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功能性能/服务要求</w:t>
            </w:r>
          </w:p>
        </w:tc>
        <w:tc>
          <w:tcPr>
            <w:tcW w:w="4309" w:type="pct"/>
            <w:vMerge w:val="restart"/>
            <w:vAlign w:val="center"/>
          </w:tcPr>
          <w:p w14:paraId="20F033F4">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一、</w:t>
            </w:r>
            <w:r>
              <w:rPr>
                <w:rFonts w:hint="default" w:ascii="Times New Roman" w:hAnsi="Times New Roman" w:eastAsia="宋体" w:cs="Times New Roman"/>
                <w:snapToGrid/>
                <w:sz w:val="24"/>
                <w:szCs w:val="24"/>
                <w:lang w:val="en-US" w:eastAsia="zh-CN"/>
              </w:rPr>
              <w:t>维保内容及服务要求</w:t>
            </w:r>
          </w:p>
          <w:p w14:paraId="0F14F5E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（一）</w:t>
            </w:r>
            <w:r>
              <w:rPr>
                <w:rFonts w:hint="default" w:ascii="Times New Roman" w:hAnsi="Times New Roman" w:eastAsia="宋体" w:cs="Times New Roman"/>
                <w:snapToGrid/>
                <w:sz w:val="24"/>
                <w:szCs w:val="24"/>
                <w:lang w:val="en-US" w:eastAsia="zh-CN"/>
              </w:rPr>
              <w:t>维保服务内容</w:t>
            </w:r>
          </w:p>
          <w:tbl>
            <w:tblPr>
              <w:tblStyle w:val="3"/>
              <w:tblW w:w="6982" w:type="dxa"/>
              <w:jc w:val="center"/>
              <w:tblLayout w:type="autofit"/>
              <w:tblCellMar>
                <w:top w:w="0" w:type="dxa"/>
                <w:left w:w="108" w:type="dxa"/>
                <w:bottom w:w="0" w:type="dxa"/>
                <w:right w:w="108" w:type="dxa"/>
              </w:tblCellMar>
            </w:tblPr>
            <w:tblGrid>
              <w:gridCol w:w="472"/>
              <w:gridCol w:w="2101"/>
              <w:gridCol w:w="3845"/>
              <w:gridCol w:w="564"/>
            </w:tblGrid>
            <w:tr w14:paraId="71F9571B">
              <w:tblPrEx>
                <w:tblCellMar>
                  <w:top w:w="0" w:type="dxa"/>
                  <w:left w:w="108" w:type="dxa"/>
                  <w:bottom w:w="0" w:type="dxa"/>
                  <w:right w:w="108" w:type="dxa"/>
                </w:tblCellMar>
              </w:tblPrEx>
              <w:trPr>
                <w:trHeight w:val="400" w:hRule="atLeast"/>
                <w:jc w:val="center"/>
              </w:trPr>
              <w:tc>
                <w:tcPr>
                  <w:tcW w:w="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6D0B4">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序号</w:t>
                  </w:r>
                </w:p>
              </w:tc>
              <w:tc>
                <w:tcPr>
                  <w:tcW w:w="2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45123">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服务名称</w:t>
                  </w:r>
                </w:p>
              </w:tc>
              <w:tc>
                <w:tcPr>
                  <w:tcW w:w="3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6F83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内容</w:t>
                  </w:r>
                </w:p>
              </w:tc>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FB06">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备注</w:t>
                  </w:r>
                </w:p>
              </w:tc>
            </w:tr>
            <w:tr w14:paraId="2B20A117">
              <w:tblPrEx>
                <w:tblCellMar>
                  <w:top w:w="0" w:type="dxa"/>
                  <w:left w:w="108" w:type="dxa"/>
                  <w:bottom w:w="0" w:type="dxa"/>
                  <w:right w:w="108" w:type="dxa"/>
                </w:tblCellMar>
              </w:tblPrEx>
              <w:trPr>
                <w:trHeight w:val="400" w:hRule="atLeast"/>
                <w:jc w:val="center"/>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54496">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c>
                <w:tcPr>
                  <w:tcW w:w="2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D3FD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c>
                <w:tcPr>
                  <w:tcW w:w="3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3166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65C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57734136">
              <w:tblPrEx>
                <w:tblCellMar>
                  <w:top w:w="0" w:type="dxa"/>
                  <w:left w:w="108" w:type="dxa"/>
                  <w:bottom w:w="0" w:type="dxa"/>
                  <w:right w:w="108" w:type="dxa"/>
                </w:tblCellMar>
              </w:tblPrEx>
              <w:trPr>
                <w:trHeight w:val="886"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48D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C9B3">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对视频会议系统提供巡检服务。</w:t>
                  </w:r>
                </w:p>
              </w:tc>
              <w:tc>
                <w:tcPr>
                  <w:tcW w:w="3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A5C7">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每周进行一次常规巡检，并提供月度巡检报告。</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7AF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2BDED29C">
              <w:tblPrEx>
                <w:tblCellMar>
                  <w:top w:w="0" w:type="dxa"/>
                  <w:left w:w="108" w:type="dxa"/>
                  <w:bottom w:w="0" w:type="dxa"/>
                  <w:right w:w="108" w:type="dxa"/>
                </w:tblCellMar>
              </w:tblPrEx>
              <w:trPr>
                <w:trHeight w:val="1030"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9D5C">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2</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3ADC">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在服务期内，对所有视频会议提供会议支撑服务。</w:t>
                  </w:r>
                </w:p>
              </w:tc>
              <w:tc>
                <w:tcPr>
                  <w:tcW w:w="3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7F2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在会议召开前1小时内赶到所需召开会议的会议室按照会议有关要求做好相关调试服务并做好会议值守服务。</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265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75AEA05A">
              <w:tblPrEx>
                <w:tblCellMar>
                  <w:top w:w="0" w:type="dxa"/>
                  <w:left w:w="108" w:type="dxa"/>
                  <w:bottom w:w="0" w:type="dxa"/>
                  <w:right w:w="108" w:type="dxa"/>
                </w:tblCellMar>
              </w:tblPrEx>
              <w:trPr>
                <w:trHeight w:val="1032"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EA8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3</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4C2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对视频会议系统提供维保服务。</w:t>
                  </w:r>
                </w:p>
              </w:tc>
              <w:tc>
                <w:tcPr>
                  <w:tcW w:w="3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03B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由维保方负责视频系统的维修和更换，维修和更换的费用（含邮寄费等）由维保方承担。</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9D6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659A432B">
              <w:tblPrEx>
                <w:tblCellMar>
                  <w:top w:w="0" w:type="dxa"/>
                  <w:left w:w="108" w:type="dxa"/>
                  <w:bottom w:w="0" w:type="dxa"/>
                  <w:right w:w="108" w:type="dxa"/>
                </w:tblCellMar>
              </w:tblPrEx>
              <w:trPr>
                <w:trHeight w:val="884"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D139">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4</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AD8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对视频会议系统提供软件升级服务。</w:t>
                  </w:r>
                </w:p>
              </w:tc>
              <w:tc>
                <w:tcPr>
                  <w:tcW w:w="3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2256">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在服务期内，对设备提供免费软件版本升级服务，使设备与新功能、新技术同步。</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6F2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646CABA0">
              <w:tblPrEx>
                <w:tblCellMar>
                  <w:top w:w="0" w:type="dxa"/>
                  <w:left w:w="108" w:type="dxa"/>
                  <w:bottom w:w="0" w:type="dxa"/>
                  <w:right w:w="108" w:type="dxa"/>
                </w:tblCellMar>
              </w:tblPrEx>
              <w:trPr>
                <w:trHeight w:val="884"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9AC8">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F89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对视频会议系统提供培训。</w:t>
                  </w:r>
                </w:p>
              </w:tc>
              <w:tc>
                <w:tcPr>
                  <w:tcW w:w="3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958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每季度进行一次讲解和操作培训，并提供相关培训资料。</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87A3">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bl>
          <w:p w14:paraId="77DB065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（二</w:t>
            </w:r>
            <w:bookmarkStart w:id="0" w:name="_GoBack"/>
            <w:bookmarkEnd w:id="0"/>
            <w:r>
              <w:rPr>
                <w:rFonts w:hint="eastAsia" w:ascii="Times New Roman" w:hAnsi="Times New Roman" w:eastAsia="宋体" w:cs="Times New Roman"/>
                <w:snapToGrid/>
                <w:sz w:val="24"/>
                <w:szCs w:val="24"/>
                <w:lang w:val="en-US" w:eastAsia="zh-CN"/>
              </w:rPr>
              <w:t>）</w:t>
            </w:r>
            <w:r>
              <w:rPr>
                <w:rFonts w:hint="default" w:ascii="Times New Roman" w:hAnsi="Times New Roman" w:eastAsia="宋体" w:cs="Times New Roman"/>
                <w:snapToGrid/>
                <w:sz w:val="24"/>
                <w:szCs w:val="24"/>
                <w:lang w:val="en-US" w:eastAsia="zh-CN"/>
              </w:rPr>
              <w:t>维保服务设备清单</w:t>
            </w:r>
          </w:p>
          <w:tbl>
            <w:tblPr>
              <w:tblStyle w:val="3"/>
              <w:tblW w:w="71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8"/>
              <w:gridCol w:w="1546"/>
              <w:gridCol w:w="1403"/>
              <w:gridCol w:w="1617"/>
              <w:gridCol w:w="756"/>
              <w:gridCol w:w="620"/>
              <w:gridCol w:w="642"/>
            </w:tblGrid>
            <w:tr w14:paraId="16B4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E27E">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84F3">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设备名称</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F82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品牌</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7A0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型号</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BF04">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数量</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900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单位</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4F0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备注</w:t>
                  </w:r>
                </w:p>
              </w:tc>
            </w:tr>
            <w:tr w14:paraId="238BE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ECB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D10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LED</w:t>
                  </w:r>
                  <w:r>
                    <w:rPr>
                      <w:rFonts w:hint="eastAsia" w:ascii="Times New Roman" w:hAnsi="Times New Roman" w:eastAsia="宋体" w:cs="Times New Roman"/>
                      <w:snapToGrid/>
                      <w:sz w:val="24"/>
                      <w:szCs w:val="24"/>
                      <w:lang w:val="en-US" w:eastAsia="zh-CN"/>
                    </w:rPr>
                    <w:t>小间距显示屏（</w:t>
                  </w:r>
                  <w:r>
                    <w:rPr>
                      <w:rFonts w:hint="default" w:ascii="Times New Roman" w:hAnsi="Times New Roman" w:eastAsia="宋体" w:cs="Times New Roman"/>
                      <w:snapToGrid/>
                      <w:sz w:val="24"/>
                      <w:szCs w:val="24"/>
                      <w:lang w:val="en-US" w:eastAsia="zh-CN"/>
                    </w:rPr>
                    <w:t>P1.5</w:t>
                  </w:r>
                  <w:r>
                    <w:rPr>
                      <w:rFonts w:hint="eastAsia" w:ascii="Times New Roman" w:hAnsi="Times New Roman" w:eastAsia="宋体" w:cs="Times New Roman"/>
                      <w:snapToGrid/>
                      <w:sz w:val="24"/>
                      <w:szCs w:val="24"/>
                      <w:lang w:val="en-US" w:eastAsia="zh-CN"/>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8DF8">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利亚德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409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AKS1.5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5D44">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 xml:space="preserve">8.064 </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DFC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A68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25149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B6F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AC67">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LED</w:t>
                  </w:r>
                  <w:r>
                    <w:rPr>
                      <w:rFonts w:hint="eastAsia" w:ascii="Times New Roman" w:hAnsi="Times New Roman" w:eastAsia="宋体" w:cs="Times New Roman"/>
                      <w:snapToGrid/>
                      <w:sz w:val="24"/>
                      <w:szCs w:val="24"/>
                      <w:lang w:val="en-US" w:eastAsia="zh-CN"/>
                    </w:rPr>
                    <w:t>小间距显示屏拼接控制器</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494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利亚德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5FE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MVC-III-02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352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 xml:space="preserve">1 </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2B4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BC8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26880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5AF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AE3E">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LED</w:t>
                  </w:r>
                  <w:r>
                    <w:rPr>
                      <w:rFonts w:hint="eastAsia" w:ascii="Times New Roman" w:hAnsi="Times New Roman" w:eastAsia="宋体" w:cs="Times New Roman"/>
                      <w:snapToGrid/>
                      <w:sz w:val="24"/>
                      <w:szCs w:val="24"/>
                      <w:lang w:val="en-US" w:eastAsia="zh-CN"/>
                    </w:rPr>
                    <w:t>小间距显示屏配电柜</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3C6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利亚德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687C">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10kw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F303">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 xml:space="preserve">1 </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C81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99D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4C4E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50AC">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763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LED</w:t>
                  </w:r>
                  <w:r>
                    <w:rPr>
                      <w:rFonts w:hint="eastAsia" w:ascii="Times New Roman" w:hAnsi="Times New Roman" w:eastAsia="宋体" w:cs="Times New Roman"/>
                      <w:snapToGrid/>
                      <w:sz w:val="24"/>
                      <w:szCs w:val="24"/>
                      <w:lang w:val="en-US" w:eastAsia="zh-CN"/>
                    </w:rPr>
                    <w:t>小间距显示屏控制系统</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D794">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利亚德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C0F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定制</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0C0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1309">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62B3">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78A9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6933">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744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视频矩阵</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ED7D">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ITC</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2506">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TS-9416UHM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710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A928">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CBDE">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65FE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22B8">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020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数字反馈抑制器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538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SMEASE</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67B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TD-F290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72E7">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1757">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8E4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3E5B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E1A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A7F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调音台</w:t>
                  </w: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1C34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YAMAHA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1EEF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MG20XU</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6D53">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46DC">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ABE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1A29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568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1EF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攻放</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6150">
                  <w:pPr>
                    <w:kinsoku/>
                    <w:autoSpaceDE/>
                    <w:autoSpaceDN/>
                    <w:adjustRightInd/>
                    <w:snapToGrid/>
                    <w:jc w:val="both"/>
                    <w:textAlignment w:val="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SONBS</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3C24">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SD-800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5F3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CAF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A3D6">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0634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FFB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EB3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数字音频处理器</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DDC3">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百威</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98D9">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VSX8080D</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0FE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BA6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5A23">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4E511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F13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10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9DB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电源时序器</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5018">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MOTIVITY</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1177">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SC-802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A17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5A76">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279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7F01A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52A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11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071C">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音响</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8397">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SONBS</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24B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SD-841S</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37B6">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6</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A27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DC7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1A8B9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1B2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FC1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数字会议主机</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0F9C">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JDS</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DF9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CH-7508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D47D">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C9E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B46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062C1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C99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w:t>
                  </w:r>
                  <w:r>
                    <w:rPr>
                      <w:rFonts w:hint="eastAsia" w:ascii="Times New Roman" w:hAnsi="Times New Roman" w:eastAsia="宋体" w:cs="Times New Roman"/>
                      <w:snapToGrid/>
                      <w:sz w:val="24"/>
                      <w:szCs w:val="24"/>
                      <w:lang w:val="en-US" w:eastAsia="zh-CN"/>
                    </w:rPr>
                    <w:t>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D5D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5G WiFi</w:t>
                  </w:r>
                  <w:r>
                    <w:rPr>
                      <w:rFonts w:hint="eastAsia" w:ascii="Times New Roman" w:hAnsi="Times New Roman" w:eastAsia="宋体" w:cs="Times New Roman"/>
                      <w:snapToGrid/>
                      <w:sz w:val="24"/>
                      <w:szCs w:val="24"/>
                      <w:lang w:val="en-US" w:eastAsia="zh-CN"/>
                    </w:rPr>
                    <w:t>加密无线会议主席单元</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0C9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JDS</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61E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CH-7508A</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0DD8">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08B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3108">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5F2E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BEDE">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w:t>
                  </w:r>
                  <w:r>
                    <w:rPr>
                      <w:rFonts w:hint="eastAsia" w:ascii="Times New Roman" w:hAnsi="Times New Roman" w:eastAsia="宋体" w:cs="Times New Roman"/>
                      <w:snapToGrid/>
                      <w:sz w:val="24"/>
                      <w:szCs w:val="24"/>
                      <w:lang w:val="en-US" w:eastAsia="zh-CN"/>
                    </w:rPr>
                    <w:t>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BCED">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5G WiFi</w:t>
                  </w:r>
                  <w:r>
                    <w:rPr>
                      <w:rFonts w:hint="eastAsia" w:ascii="Times New Roman" w:hAnsi="Times New Roman" w:eastAsia="宋体" w:cs="Times New Roman"/>
                      <w:snapToGrid/>
                      <w:sz w:val="24"/>
                      <w:szCs w:val="24"/>
                      <w:lang w:val="en-US" w:eastAsia="zh-CN"/>
                    </w:rPr>
                    <w:t>加密无线会议代表单元</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8979">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JDS</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D9F9">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CH-7508B</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1233">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22</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E0A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3F4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32B4B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DC74">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w:t>
                  </w:r>
                  <w:r>
                    <w:rPr>
                      <w:rFonts w:hint="eastAsia" w:ascii="Times New Roman" w:hAnsi="Times New Roman" w:eastAsia="宋体" w:cs="Times New Roman"/>
                      <w:snapToGrid/>
                      <w:sz w:val="24"/>
                      <w:szCs w:val="24"/>
                      <w:lang w:val="en-US" w:eastAsia="zh-CN"/>
                    </w:rPr>
                    <w:t>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C32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5G WiFi</w:t>
                  </w:r>
                  <w:r>
                    <w:rPr>
                      <w:rFonts w:hint="eastAsia" w:ascii="Times New Roman" w:hAnsi="Times New Roman" w:eastAsia="宋体" w:cs="Times New Roman"/>
                      <w:snapToGrid/>
                      <w:sz w:val="24"/>
                      <w:szCs w:val="24"/>
                      <w:lang w:val="en-US" w:eastAsia="zh-CN"/>
                    </w:rPr>
                    <w:t>加密无线发射器</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961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JDS</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1F6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CH-7508C</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C407">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CD9D">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7606">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0454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8A8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EC4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会控系统</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B62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定制</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16C4">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74E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3</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E61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67DD">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69A71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845C">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w:t>
                  </w:r>
                  <w:r>
                    <w:rPr>
                      <w:rFonts w:hint="eastAsia" w:ascii="Times New Roman" w:hAnsi="Times New Roman" w:eastAsia="宋体" w:cs="Times New Roman"/>
                      <w:snapToGrid/>
                      <w:sz w:val="24"/>
                      <w:szCs w:val="24"/>
                      <w:lang w:val="en-US" w:eastAsia="zh-CN"/>
                    </w:rPr>
                    <w:t>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48F4">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智能会议平板终端-挂墙式/立式</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FA6B">
                  <w:pPr>
                    <w:kinsoku/>
                    <w:autoSpaceDE/>
                    <w:autoSpaceDN/>
                    <w:adjustRightInd/>
                    <w:snapToGrid/>
                    <w:jc w:val="both"/>
                    <w:textAlignment w:val="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华为</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973A">
                  <w:pPr>
                    <w:kinsoku/>
                    <w:autoSpaceDE/>
                    <w:autoSpaceDN/>
                    <w:adjustRightInd/>
                    <w:snapToGrid/>
                    <w:jc w:val="both"/>
                    <w:textAlignment w:val="auto"/>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Ideapro86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816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3</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565F">
                  <w:pPr>
                    <w:kinsoku/>
                    <w:autoSpaceDE/>
                    <w:autoSpaceDN/>
                    <w:adjustRightInd/>
                    <w:snapToGrid/>
                    <w:jc w:val="both"/>
                    <w:textAlignment w:val="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AC46">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6287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43D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18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3E79">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视频会议终端</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4F98">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华为</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F7E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TE40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4D8B">
                  <w:pPr>
                    <w:kinsoku/>
                    <w:autoSpaceDE/>
                    <w:autoSpaceDN/>
                    <w:adjustRightInd/>
                    <w:snapToGrid/>
                    <w:jc w:val="both"/>
                    <w:textAlignment w:val="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1DA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087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153D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6699">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EF77">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视频会议高清摄像机</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CB6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华为</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A78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VPC620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FD51">
                  <w:pPr>
                    <w:kinsoku/>
                    <w:autoSpaceDE/>
                    <w:autoSpaceDN/>
                    <w:adjustRightInd/>
                    <w:snapToGrid/>
                    <w:jc w:val="both"/>
                    <w:textAlignment w:val="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4</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D33E">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5574">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7385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99E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3A9E">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视频会议高清摄像机（移动式）</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F459">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华为</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388E">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Camera200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343E">
                  <w:pPr>
                    <w:kinsoku/>
                    <w:autoSpaceDE/>
                    <w:autoSpaceDN/>
                    <w:adjustRightInd/>
                    <w:snapToGrid/>
                    <w:jc w:val="both"/>
                    <w:textAlignment w:val="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112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B7B9">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483D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D52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7F4E">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全向麦克风</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ADF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华为</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B666">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MIC500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D5BD">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3</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4627">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742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bl>
          <w:p w14:paraId="00136958">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（三）维保服务期限</w:t>
            </w:r>
          </w:p>
          <w:p w14:paraId="5561D96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12个月（具体时间以合同约定为准）。</w:t>
            </w:r>
          </w:p>
          <w:p w14:paraId="67A0C6C8">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（四）维保服务地址</w:t>
            </w:r>
          </w:p>
          <w:p w14:paraId="505C5FF4">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1、成都市锦悦西路2号，2号楼B座4楼401会议室；</w:t>
            </w:r>
          </w:p>
          <w:p w14:paraId="7D6C91A0">
            <w:pPr>
              <w:kinsoku/>
              <w:autoSpaceDE/>
              <w:autoSpaceDN/>
              <w:adjustRightInd/>
              <w:snapToGrid/>
              <w:jc w:val="both"/>
              <w:textAlignment w:val="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2、成都市锦悦西路2号，2号楼B座5楼405会议室；</w:t>
            </w:r>
          </w:p>
          <w:p w14:paraId="69EB1A27">
            <w:pPr>
              <w:kinsoku/>
              <w:autoSpaceDE/>
              <w:autoSpaceDN/>
              <w:adjustRightInd/>
              <w:snapToGrid/>
              <w:jc w:val="both"/>
              <w:textAlignment w:val="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3、成都市锦悦西路2号，2号楼B座5楼501会议室；</w:t>
            </w:r>
          </w:p>
          <w:p w14:paraId="635214CD">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4、成都市锦悦西路2号，2号楼B座5楼516会议室</w:t>
            </w:r>
            <w:r>
              <w:rPr>
                <w:rFonts w:hint="default" w:ascii="Times New Roman" w:hAnsi="Times New Roman" w:eastAsia="宋体" w:cs="Times New Roman"/>
                <w:snapToGrid/>
                <w:sz w:val="24"/>
                <w:szCs w:val="24"/>
                <w:lang w:val="en-US" w:eastAsia="zh-CN"/>
              </w:rPr>
              <w:t>。</w:t>
            </w:r>
          </w:p>
          <w:p w14:paraId="30BD4093">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（五）维保服务考评办法</w:t>
            </w:r>
          </w:p>
          <w:tbl>
            <w:tblPr>
              <w:tblStyle w:val="3"/>
              <w:tblW w:w="7107" w:type="dxa"/>
              <w:jc w:val="center"/>
              <w:tblLayout w:type="autofit"/>
              <w:tblCellMar>
                <w:top w:w="0" w:type="dxa"/>
                <w:left w:w="108" w:type="dxa"/>
                <w:bottom w:w="0" w:type="dxa"/>
                <w:right w:w="108" w:type="dxa"/>
              </w:tblCellMar>
            </w:tblPr>
            <w:tblGrid>
              <w:gridCol w:w="469"/>
              <w:gridCol w:w="1610"/>
              <w:gridCol w:w="3864"/>
              <w:gridCol w:w="1164"/>
            </w:tblGrid>
            <w:tr w14:paraId="1653E39F">
              <w:tblPrEx>
                <w:tblCellMar>
                  <w:top w:w="0" w:type="dxa"/>
                  <w:left w:w="108" w:type="dxa"/>
                  <w:bottom w:w="0" w:type="dxa"/>
                  <w:right w:w="108" w:type="dxa"/>
                </w:tblCellMar>
              </w:tblPrEx>
              <w:trPr>
                <w:trHeight w:val="400" w:hRule="atLeast"/>
                <w:jc w:val="center"/>
              </w:trPr>
              <w:tc>
                <w:tcPr>
                  <w:tcW w:w="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FC0B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序号</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7910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服务考核内容</w:t>
                  </w:r>
                </w:p>
              </w:tc>
              <w:tc>
                <w:tcPr>
                  <w:tcW w:w="3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7553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考核指标</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FC4F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考核分数</w:t>
                  </w:r>
                  <w:r>
                    <w:rPr>
                      <w:rFonts w:hint="default" w:ascii="Times New Roman" w:hAnsi="Times New Roman" w:eastAsia="宋体" w:cs="Times New Roman"/>
                      <w:snapToGrid/>
                      <w:sz w:val="24"/>
                      <w:szCs w:val="24"/>
                      <w:lang w:val="en-US" w:eastAsia="zh-CN"/>
                    </w:rPr>
                    <w:br w:type="textWrapping"/>
                  </w:r>
                  <w:r>
                    <w:rPr>
                      <w:rFonts w:hint="default" w:ascii="Times New Roman" w:hAnsi="Times New Roman" w:eastAsia="宋体" w:cs="Times New Roman"/>
                      <w:snapToGrid/>
                      <w:sz w:val="24"/>
                      <w:szCs w:val="24"/>
                      <w:lang w:val="en-US" w:eastAsia="zh-CN"/>
                    </w:rPr>
                    <w:t>占比(分)</w:t>
                  </w:r>
                </w:p>
              </w:tc>
            </w:tr>
            <w:tr w14:paraId="3AE2E747">
              <w:tblPrEx>
                <w:tblCellMar>
                  <w:top w:w="0" w:type="dxa"/>
                  <w:left w:w="108" w:type="dxa"/>
                  <w:bottom w:w="0" w:type="dxa"/>
                  <w:right w:w="108" w:type="dxa"/>
                </w:tblCellMar>
              </w:tblPrEx>
              <w:trPr>
                <w:trHeight w:val="400" w:hRule="atLeast"/>
                <w:jc w:val="center"/>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8CA18">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EBBD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c>
                <w:tcPr>
                  <w:tcW w:w="3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58598">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FD4AC">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4DD7DF3D">
              <w:tblPrEx>
                <w:tblCellMar>
                  <w:top w:w="0" w:type="dxa"/>
                  <w:left w:w="108" w:type="dxa"/>
                  <w:bottom w:w="0" w:type="dxa"/>
                  <w:right w:w="108" w:type="dxa"/>
                </w:tblCellMar>
              </w:tblPrEx>
              <w:trPr>
                <w:trHeight w:val="110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F96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1AF8">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对视频会议系统提供巡检服务。</w:t>
                  </w: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3C24">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每周进行一次常规巡检，并提供月度巡检报告，每份报告2分，共24分。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3EE8">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 xml:space="preserve">24.00 </w:t>
                  </w:r>
                </w:p>
              </w:tc>
            </w:tr>
            <w:tr w14:paraId="27A88834">
              <w:tblPrEx>
                <w:tblCellMar>
                  <w:top w:w="0" w:type="dxa"/>
                  <w:left w:w="108" w:type="dxa"/>
                  <w:bottom w:w="0" w:type="dxa"/>
                  <w:right w:w="108" w:type="dxa"/>
                </w:tblCellMar>
              </w:tblPrEx>
              <w:trPr>
                <w:trHeight w:val="110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FDB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07D">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在服务期内，对所有视频会议提供会议支撑服务。</w:t>
                  </w: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C64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在会议召开前1小时内赶到所需召开会议的会议室按照会议有关要求做好相关调试服务并做好会议值守服务</w:t>
                  </w:r>
                  <w:r>
                    <w:rPr>
                      <w:rFonts w:hint="default" w:ascii="Times New Roman" w:hAnsi="Times New Roman" w:eastAsia="宋体" w:cs="Times New Roman"/>
                      <w:snapToGrid/>
                      <w:sz w:val="24"/>
                      <w:szCs w:val="24"/>
                      <w:lang w:val="en-US" w:eastAsia="zh-CN"/>
                    </w:rPr>
                    <w:t>，本项总分值</w:t>
                  </w:r>
                  <w:r>
                    <w:rPr>
                      <w:rFonts w:hint="eastAsia" w:ascii="Times New Roman" w:hAnsi="Times New Roman" w:eastAsia="宋体" w:cs="Times New Roman"/>
                      <w:snapToGrid/>
                      <w:sz w:val="24"/>
                      <w:szCs w:val="24"/>
                      <w:lang w:val="en-US" w:eastAsia="zh-CN"/>
                    </w:rPr>
                    <w:t>4</w:t>
                  </w:r>
                  <w:r>
                    <w:rPr>
                      <w:rFonts w:hint="default" w:ascii="Times New Roman" w:hAnsi="Times New Roman" w:eastAsia="宋体" w:cs="Times New Roman"/>
                      <w:snapToGrid/>
                      <w:sz w:val="24"/>
                      <w:szCs w:val="24"/>
                      <w:lang w:val="en-US" w:eastAsia="zh-CN"/>
                    </w:rPr>
                    <w:t>0分，如出现人员不能到场的情况， 每次扣1分，扣完为止。</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1B56">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40</w:t>
                  </w:r>
                  <w:r>
                    <w:rPr>
                      <w:rFonts w:hint="default" w:ascii="Times New Roman" w:hAnsi="Times New Roman" w:eastAsia="宋体" w:cs="Times New Roman"/>
                      <w:snapToGrid/>
                      <w:sz w:val="24"/>
                      <w:szCs w:val="24"/>
                      <w:lang w:val="en-US" w:eastAsia="zh-CN"/>
                    </w:rPr>
                    <w:t xml:space="preserve">.00 </w:t>
                  </w:r>
                </w:p>
              </w:tc>
            </w:tr>
            <w:tr w14:paraId="081A2E06">
              <w:tblPrEx>
                <w:tblCellMar>
                  <w:top w:w="0" w:type="dxa"/>
                  <w:left w:w="108" w:type="dxa"/>
                  <w:bottom w:w="0" w:type="dxa"/>
                  <w:right w:w="108" w:type="dxa"/>
                </w:tblCellMar>
              </w:tblPrEx>
              <w:trPr>
                <w:trHeight w:val="150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E6D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0F8C">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对视频会议系统提供维保服务。</w:t>
                  </w: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627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由供应商负责系统的维修和更换，维修和更换的费用（含邮寄费等）由供应商承担。系统维修和更换时限为从采购方系统发生故障到收到供应商限寄回的维修和更换系统的时间，时为15天</w:t>
                  </w:r>
                  <w:r>
                    <w:rPr>
                      <w:rFonts w:hint="eastAsia" w:ascii="Times New Roman" w:hAnsi="Times New Roman" w:eastAsia="宋体" w:cs="Times New Roman"/>
                      <w:snapToGrid/>
                      <w:sz w:val="24"/>
                      <w:szCs w:val="24"/>
                      <w:lang w:val="en-US" w:eastAsia="zh-CN"/>
                    </w:rPr>
                    <w:t>，</w:t>
                  </w:r>
                  <w:r>
                    <w:rPr>
                      <w:rFonts w:hint="default" w:ascii="Times New Roman" w:hAnsi="Times New Roman" w:eastAsia="宋体" w:cs="Times New Roman"/>
                      <w:snapToGrid/>
                      <w:sz w:val="24"/>
                      <w:szCs w:val="24"/>
                      <w:lang w:val="en-US" w:eastAsia="zh-CN"/>
                    </w:rPr>
                    <w:t>本项总分值2</w:t>
                  </w:r>
                  <w:r>
                    <w:rPr>
                      <w:rFonts w:hint="eastAsia" w:ascii="Times New Roman" w:hAnsi="Times New Roman" w:eastAsia="宋体" w:cs="Times New Roman"/>
                      <w:snapToGrid/>
                      <w:sz w:val="24"/>
                      <w:szCs w:val="24"/>
                      <w:lang w:val="en-US" w:eastAsia="zh-CN"/>
                    </w:rPr>
                    <w:t>5</w:t>
                  </w:r>
                  <w:r>
                    <w:rPr>
                      <w:rFonts w:hint="default" w:ascii="Times New Roman" w:hAnsi="Times New Roman" w:eastAsia="宋体" w:cs="Times New Roman"/>
                      <w:snapToGrid/>
                      <w:sz w:val="24"/>
                      <w:szCs w:val="24"/>
                      <w:lang w:val="en-US" w:eastAsia="zh-CN"/>
                    </w:rPr>
                    <w:t>分，无故障发生，考核为满分，如果超过1天扣</w:t>
                  </w:r>
                  <w:r>
                    <w:rPr>
                      <w:rFonts w:hint="eastAsia" w:ascii="Times New Roman" w:hAnsi="Times New Roman" w:eastAsia="宋体" w:cs="Times New Roman"/>
                      <w:snapToGrid/>
                      <w:sz w:val="24"/>
                      <w:szCs w:val="24"/>
                      <w:lang w:val="en-US" w:eastAsia="zh-CN"/>
                    </w:rPr>
                    <w:t>1</w:t>
                  </w:r>
                  <w:r>
                    <w:rPr>
                      <w:rFonts w:hint="default" w:ascii="Times New Roman" w:hAnsi="Times New Roman" w:eastAsia="宋体" w:cs="Times New Roman"/>
                      <w:snapToGrid/>
                      <w:sz w:val="24"/>
                      <w:szCs w:val="24"/>
                      <w:lang w:val="en-US" w:eastAsia="zh-CN"/>
                    </w:rPr>
                    <w:t>分，扣完本项分数为止。</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7B06">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2</w:t>
                  </w:r>
                  <w:r>
                    <w:rPr>
                      <w:rFonts w:hint="eastAsia" w:ascii="Times New Roman" w:hAnsi="Times New Roman" w:eastAsia="宋体" w:cs="Times New Roman"/>
                      <w:snapToGrid/>
                      <w:sz w:val="24"/>
                      <w:szCs w:val="24"/>
                      <w:lang w:val="en-US" w:eastAsia="zh-CN"/>
                    </w:rPr>
                    <w:t>5</w:t>
                  </w:r>
                  <w:r>
                    <w:rPr>
                      <w:rFonts w:hint="default" w:ascii="Times New Roman" w:hAnsi="Times New Roman" w:eastAsia="宋体" w:cs="Times New Roman"/>
                      <w:snapToGrid/>
                      <w:sz w:val="24"/>
                      <w:szCs w:val="24"/>
                      <w:lang w:val="en-US" w:eastAsia="zh-CN"/>
                    </w:rPr>
                    <w:t xml:space="preserve">.00 </w:t>
                  </w:r>
                </w:p>
              </w:tc>
            </w:tr>
            <w:tr w14:paraId="4A4F775A">
              <w:tblPrEx>
                <w:tblCellMar>
                  <w:top w:w="0" w:type="dxa"/>
                  <w:left w:w="108" w:type="dxa"/>
                  <w:bottom w:w="0" w:type="dxa"/>
                  <w:right w:w="108" w:type="dxa"/>
                </w:tblCellMar>
              </w:tblPrEx>
              <w:trPr>
                <w:trHeight w:val="200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830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6C5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对视频会议系统提供软件升级服务。</w:t>
                  </w: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905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在服务期内，对设备提供免费软件版本升级服务，使设备与新功能、新技术同步。</w:t>
                  </w:r>
                  <w:r>
                    <w:rPr>
                      <w:rFonts w:hint="default" w:ascii="Times New Roman" w:hAnsi="Times New Roman" w:eastAsia="宋体" w:cs="Times New Roman"/>
                      <w:snapToGrid/>
                      <w:sz w:val="24"/>
                      <w:szCs w:val="24"/>
                      <w:lang w:val="en-US" w:eastAsia="zh-CN"/>
                    </w:rPr>
                    <w:t>本项总分值</w:t>
                  </w:r>
                  <w:r>
                    <w:rPr>
                      <w:rFonts w:hint="eastAsia" w:ascii="Times New Roman" w:hAnsi="Times New Roman" w:eastAsia="宋体" w:cs="Times New Roman"/>
                      <w:snapToGrid/>
                      <w:sz w:val="24"/>
                      <w:szCs w:val="24"/>
                      <w:lang w:val="en-US" w:eastAsia="zh-CN"/>
                    </w:rPr>
                    <w:t>3</w:t>
                  </w:r>
                  <w:r>
                    <w:rPr>
                      <w:rFonts w:hint="default" w:ascii="Times New Roman" w:hAnsi="Times New Roman" w:eastAsia="宋体" w:cs="Times New Roman"/>
                      <w:snapToGrid/>
                      <w:sz w:val="24"/>
                      <w:szCs w:val="24"/>
                      <w:lang w:val="en-US" w:eastAsia="zh-CN"/>
                    </w:rPr>
                    <w:t>分，如出现</w:t>
                  </w:r>
                  <w:r>
                    <w:rPr>
                      <w:rFonts w:hint="eastAsia" w:ascii="Times New Roman" w:hAnsi="Times New Roman" w:eastAsia="宋体" w:cs="Times New Roman"/>
                      <w:snapToGrid/>
                      <w:sz w:val="24"/>
                      <w:szCs w:val="24"/>
                      <w:lang w:val="en-US" w:eastAsia="zh-CN"/>
                    </w:rPr>
                    <w:t>设备更新了软件版本，但没有对软件版本进行升级的</w:t>
                  </w:r>
                  <w:r>
                    <w:rPr>
                      <w:rFonts w:hint="default" w:ascii="Times New Roman" w:hAnsi="Times New Roman" w:eastAsia="宋体" w:cs="Times New Roman"/>
                      <w:snapToGrid/>
                      <w:sz w:val="24"/>
                      <w:szCs w:val="24"/>
                      <w:lang w:val="en-US" w:eastAsia="zh-CN"/>
                    </w:rPr>
                    <w:t>情况， 每次扣1分，扣完为止。</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FC9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3.00</w:t>
                  </w:r>
                </w:p>
              </w:tc>
            </w:tr>
            <w:tr w14:paraId="3BA9E235">
              <w:tblPrEx>
                <w:tblCellMar>
                  <w:top w:w="0" w:type="dxa"/>
                  <w:left w:w="108" w:type="dxa"/>
                  <w:bottom w:w="0" w:type="dxa"/>
                  <w:right w:w="108" w:type="dxa"/>
                </w:tblCellMar>
              </w:tblPrEx>
              <w:trPr>
                <w:trHeight w:val="110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890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536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对视频会议系统提供培训。</w:t>
                  </w: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FC58">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每季度进行一次讲解和操作培训，并提供相关培训资料，每次培训2分，共8分。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3FCC">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 xml:space="preserve">8.00 </w:t>
                  </w:r>
                </w:p>
              </w:tc>
            </w:tr>
            <w:tr w14:paraId="7643498D">
              <w:tblPrEx>
                <w:tblCellMar>
                  <w:top w:w="0" w:type="dxa"/>
                  <w:left w:w="108" w:type="dxa"/>
                  <w:bottom w:w="0" w:type="dxa"/>
                  <w:right w:w="108" w:type="dxa"/>
                </w:tblCellMar>
              </w:tblPrEx>
              <w:trPr>
                <w:trHeight w:val="700" w:hRule="atLeast"/>
                <w:jc w:val="center"/>
              </w:trPr>
              <w:tc>
                <w:tcPr>
                  <w:tcW w:w="5943" w:type="dxa"/>
                  <w:gridSpan w:val="3"/>
                  <w:tcBorders>
                    <w:top w:val="nil"/>
                    <w:left w:val="single" w:color="000000" w:sz="4" w:space="0"/>
                    <w:bottom w:val="single" w:color="000000" w:sz="4" w:space="0"/>
                    <w:right w:val="single" w:color="000000" w:sz="4" w:space="0"/>
                  </w:tcBorders>
                  <w:shd w:val="clear" w:color="auto" w:fill="auto"/>
                  <w:noWrap/>
                  <w:vAlign w:val="center"/>
                </w:tcPr>
                <w:p w14:paraId="680F820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合计</w:t>
                  </w:r>
                </w:p>
              </w:tc>
              <w:tc>
                <w:tcPr>
                  <w:tcW w:w="1164" w:type="dxa"/>
                  <w:tcBorders>
                    <w:top w:val="nil"/>
                    <w:left w:val="single" w:color="000000" w:sz="4" w:space="0"/>
                    <w:bottom w:val="single" w:color="000000" w:sz="4" w:space="0"/>
                    <w:right w:val="single" w:color="000000" w:sz="4" w:space="0"/>
                  </w:tcBorders>
                  <w:shd w:val="clear" w:color="auto" w:fill="auto"/>
                  <w:noWrap/>
                  <w:vAlign w:val="center"/>
                </w:tcPr>
                <w:p w14:paraId="6D627353">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 xml:space="preserve">100.00 </w:t>
                  </w:r>
                </w:p>
              </w:tc>
            </w:tr>
          </w:tbl>
          <w:p w14:paraId="4301D63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考评总分为：100分。其中，考评总分≥90，支付本项金额100%；80≤考评总分＜90，支付本项金额80%；70≤考评总分＜80，支付本项金额60%；60≤考评总分＜70，支付本项金额40%；考评总分＜60，不予支付。</w:t>
            </w:r>
          </w:p>
          <w:p w14:paraId="2F9AB767">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2DF3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240" w:type="pct"/>
            <w:vMerge w:val="continue"/>
            <w:vAlign w:val="center"/>
          </w:tcPr>
          <w:p w14:paraId="4AE73DA2">
            <w:pPr>
              <w:kinsoku/>
              <w:autoSpaceDE/>
              <w:autoSpaceDN/>
              <w:adjustRightInd/>
              <w:snapToGrid/>
              <w:jc w:val="center"/>
              <w:textAlignment w:val="auto"/>
              <w:rPr>
                <w:rFonts w:ascii="Times New Roman" w:hAnsi="Times New Roman" w:eastAsia="宋体" w:cs="Times New Roman"/>
                <w:snapToGrid/>
                <w:sz w:val="24"/>
                <w:szCs w:val="24"/>
                <w:lang w:eastAsia="zh-CN"/>
              </w:rPr>
            </w:pPr>
          </w:p>
        </w:tc>
        <w:tc>
          <w:tcPr>
            <w:tcW w:w="450" w:type="pct"/>
            <w:vMerge w:val="continue"/>
            <w:vAlign w:val="center"/>
          </w:tcPr>
          <w:p w14:paraId="243441E6">
            <w:pPr>
              <w:kinsoku/>
              <w:autoSpaceDE/>
              <w:autoSpaceDN/>
              <w:adjustRightInd/>
              <w:snapToGrid/>
              <w:jc w:val="center"/>
              <w:textAlignment w:val="auto"/>
              <w:rPr>
                <w:rFonts w:ascii="Times New Roman" w:hAnsi="Times New Roman" w:eastAsia="宋体" w:cs="Times New Roman"/>
                <w:snapToGrid/>
                <w:sz w:val="24"/>
                <w:szCs w:val="24"/>
                <w:lang w:eastAsia="zh-CN"/>
              </w:rPr>
            </w:pPr>
          </w:p>
        </w:tc>
        <w:tc>
          <w:tcPr>
            <w:tcW w:w="4309" w:type="pct"/>
            <w:vMerge w:val="continue"/>
            <w:vAlign w:val="center"/>
          </w:tcPr>
          <w:p w14:paraId="00BE1139">
            <w:pPr>
              <w:kinsoku/>
              <w:autoSpaceDE/>
              <w:autoSpaceDN/>
              <w:adjustRightInd/>
              <w:snapToGrid/>
              <w:jc w:val="both"/>
              <w:textAlignment w:val="auto"/>
              <w:rPr>
                <w:rFonts w:ascii="Times New Roman" w:hAnsi="Times New Roman" w:eastAsia="宋体" w:cs="Times New Roman"/>
                <w:snapToGrid/>
                <w:sz w:val="24"/>
                <w:szCs w:val="24"/>
                <w:lang w:eastAsia="zh-CN"/>
              </w:rPr>
            </w:pPr>
          </w:p>
        </w:tc>
      </w:tr>
      <w:tr w14:paraId="793E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85" w:hRule="atLeast"/>
        </w:trPr>
        <w:tc>
          <w:tcPr>
            <w:tcW w:w="240" w:type="pct"/>
            <w:vAlign w:val="center"/>
          </w:tcPr>
          <w:p w14:paraId="6D6FF503">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3</w:t>
            </w:r>
          </w:p>
        </w:tc>
        <w:tc>
          <w:tcPr>
            <w:tcW w:w="450" w:type="pct"/>
            <w:vAlign w:val="center"/>
          </w:tcPr>
          <w:p w14:paraId="7B1756B1">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数量/服务期限</w:t>
            </w:r>
          </w:p>
        </w:tc>
        <w:tc>
          <w:tcPr>
            <w:tcW w:w="4309" w:type="pct"/>
            <w:vAlign w:val="center"/>
          </w:tcPr>
          <w:p w14:paraId="05510AE4">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服务期限</w:t>
            </w:r>
            <w:r>
              <w:rPr>
                <w:rFonts w:hint="default" w:ascii="Times New Roman" w:hAnsi="Times New Roman" w:eastAsia="宋体" w:cs="Times New Roman"/>
                <w:snapToGrid/>
                <w:sz w:val="24"/>
                <w:szCs w:val="24"/>
                <w:lang w:val="en-US" w:eastAsia="zh-CN"/>
              </w:rPr>
              <w:t>12个月（具体时间以合同约定为准）。</w:t>
            </w:r>
          </w:p>
        </w:tc>
      </w:tr>
      <w:tr w14:paraId="7E85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36" w:hRule="atLeast"/>
        </w:trPr>
        <w:tc>
          <w:tcPr>
            <w:tcW w:w="240" w:type="pct"/>
            <w:vAlign w:val="center"/>
          </w:tcPr>
          <w:p w14:paraId="2EFEEEB7">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4</w:t>
            </w:r>
          </w:p>
        </w:tc>
        <w:tc>
          <w:tcPr>
            <w:tcW w:w="450" w:type="pct"/>
            <w:vAlign w:val="center"/>
          </w:tcPr>
          <w:p w14:paraId="0518B342">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商务要求</w:t>
            </w:r>
          </w:p>
        </w:tc>
        <w:tc>
          <w:tcPr>
            <w:tcW w:w="4309" w:type="pct"/>
            <w:shd w:val="clear" w:color="auto" w:fill="auto"/>
            <w:vAlign w:val="center"/>
          </w:tcPr>
          <w:p w14:paraId="66E3EB97">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（一）商务要求</w:t>
            </w:r>
          </w:p>
          <w:p w14:paraId="2EE2DFD6">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服务期限：合同生效之日起至双方履约完毕。</w:t>
            </w:r>
          </w:p>
          <w:p w14:paraId="6A564FB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服务地点：成都市锦悦西路2号。</w:t>
            </w:r>
          </w:p>
          <w:p w14:paraId="77E28E9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（二）付款方式</w:t>
            </w:r>
          </w:p>
          <w:p w14:paraId="4FDAD3AD">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1.合同签订生效后，采购人收到成交供应商开具的发票后，达到付款条件起10个工作日内，向成交供应商支付合同金额的80%，</w:t>
            </w:r>
          </w:p>
          <w:p w14:paraId="5E459D8C">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2.供应商完成约定服务内容并经采购人验收合格后，采购人收到成交供应商开具的发票后，达到付款条件起10个工作日内，向成交供应商支付合同金额的20%。</w:t>
            </w:r>
          </w:p>
          <w:p w14:paraId="547D48A6">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（三）售后服务要求</w:t>
            </w:r>
          </w:p>
          <w:p w14:paraId="0E27002D">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服务期内供应商提供视频会议系统所有保修服务；并提供故障时现场技术支持服务，要求故障发生后5分钟内电话响应，1.5小时内到达现场。</w:t>
            </w:r>
          </w:p>
          <w:p w14:paraId="1F892D6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供应商应提供7*24小时受理热线电话（供应商提供服务受理热线电话号码）支持，安排专职值班维护人员接听电话，解答问题，指导排除故障，以满足服务需求。远程通讯支持服务，使用即时通讯工具等提供5*8小时网上在线服务。</w:t>
            </w:r>
          </w:p>
          <w:p w14:paraId="25D50E04">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（四）知识产权要求</w:t>
            </w:r>
          </w:p>
          <w:p w14:paraId="0D98731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供应商应保证在本次维保服务（包括部分使用）中无任何知识产权权利瑕疵，不会产生因第三方提出侵犯其专利权、商标权或其它知识产权而引起的法律和经济纠纷。如因专利权、商标权或其它知识产权而引起法律和经济纠纷，由供应商承担所有相关责任。供应商在项目实施过程中采用自有或者第三方知识成果的，在使用该知识成果后，供应商需提供开发接口和开发手册等技术文档，并提供无限期技术支持，采购人享有永久使用权（含采购人委托第三方在该项目后续开发的使用权）。采用供应商所不拥有的知识产权的，则本合同金额中已包括合法获取该知识产权的相关费用，采购人不再额外支付费用。如因此发生法律纠纷，由供应商承担产生的一切法律责任和费用。采购人对本次维保服务期间所产生的文件、资料、数据等均享有知识产权及所有权。</w:t>
            </w:r>
          </w:p>
          <w:p w14:paraId="1D58C5F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（五）验收要求</w:t>
            </w:r>
          </w:p>
          <w:p w14:paraId="6BBBE8F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1、履约验收的主体：成都市经济发展研究院（成都市经济信息中心）。</w:t>
            </w:r>
          </w:p>
          <w:p w14:paraId="0A79E7F7">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2、验收时间：服务到期后，供应商凭验收申请书向采购人申请验收工作，采购人在收到合格的服务考核表及验收申请书的5个工作日组织竣工验收工作。</w:t>
            </w:r>
          </w:p>
          <w:p w14:paraId="70ABA5F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3、验收方式及程序：本服务通过内部评审的方式进行一次性验收。由采购人组织开展验收工作，须符合国家有关规定、招标文件的质量要求和技术标准、供应商的投标文件以及合同条款。</w:t>
            </w:r>
          </w:p>
          <w:p w14:paraId="1757B75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4、验收内容：技术要求和商务要求的履约情况。</w:t>
            </w:r>
          </w:p>
          <w:p w14:paraId="0270A30D">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5、验收标准：严格按照《财政部关于进一步加强政府采购需求和履约验收管理的指导意见》（财库〔2016〕205号）以及主管部门的相关要求进行验收。</w:t>
            </w:r>
          </w:p>
        </w:tc>
      </w:tr>
      <w:tr w14:paraId="63E3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70" w:hRule="atLeast"/>
        </w:trPr>
        <w:tc>
          <w:tcPr>
            <w:tcW w:w="240" w:type="pct"/>
            <w:vAlign w:val="center"/>
          </w:tcPr>
          <w:p w14:paraId="36ABE870">
            <w:pPr>
              <w:kinsoku/>
              <w:autoSpaceDE/>
              <w:autoSpaceDN/>
              <w:adjustRightInd/>
              <w:snapToGrid/>
              <w:jc w:val="center"/>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5</w:t>
            </w:r>
          </w:p>
        </w:tc>
        <w:tc>
          <w:tcPr>
            <w:tcW w:w="450" w:type="pct"/>
            <w:vAlign w:val="center"/>
          </w:tcPr>
          <w:p w14:paraId="71D166D0">
            <w:pPr>
              <w:kinsoku/>
              <w:autoSpaceDE/>
              <w:autoSpaceDN/>
              <w:adjustRightInd/>
              <w:snapToGrid/>
              <w:jc w:val="center"/>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其他</w:t>
            </w:r>
          </w:p>
        </w:tc>
        <w:tc>
          <w:tcPr>
            <w:tcW w:w="4309" w:type="pct"/>
            <w:shd w:val="clear" w:color="auto" w:fill="auto"/>
            <w:vAlign w:val="center"/>
          </w:tcPr>
          <w:p w14:paraId="7B470F09">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视项目情况补充。</w:t>
            </w:r>
          </w:p>
        </w:tc>
      </w:tr>
    </w:tbl>
    <w:p w14:paraId="2F8B26C8">
      <w:pPr>
        <w:rPr>
          <w:rFonts w:hint="default" w:ascii="Times New Roman" w:hAnsi="Times New Roman" w:eastAsia="黑体" w:cs="Times New Roman"/>
          <w:snapToGrid/>
          <w:kern w:val="2"/>
          <w:sz w:val="32"/>
          <w:szCs w:val="32"/>
          <w:lang w:eastAsia="zh-CN"/>
        </w:rPr>
      </w:pPr>
      <w:r>
        <w:rPr>
          <w:rFonts w:hint="default" w:ascii="Times New Roman" w:hAnsi="Times New Roman" w:eastAsia="黑体" w:cs="Times New Roman"/>
          <w:snapToGrid/>
          <w:kern w:val="2"/>
          <w:sz w:val="32"/>
          <w:szCs w:val="32"/>
          <w:lang w:eastAsia="zh-CN"/>
        </w:rPr>
        <w:br w:type="page"/>
      </w:r>
    </w:p>
    <w:p w14:paraId="596599D4">
      <w:pPr>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E31EC"/>
    <w:rsid w:val="042E31EC"/>
    <w:rsid w:val="0FFE74D6"/>
    <w:rsid w:val="1D6525A5"/>
    <w:rsid w:val="299D6710"/>
    <w:rsid w:val="3A88125B"/>
    <w:rsid w:val="4C0970EB"/>
    <w:rsid w:val="54277785"/>
    <w:rsid w:val="5CFF2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jc w:val="left"/>
    </w:pPr>
    <w:rPr>
      <w:rFonts w:hint="default" w:ascii="Times New Roman" w:hAnsi="Times New Roman" w:cs="Times New Roman"/>
      <w:kern w:val="0"/>
      <w:sz w:val="24"/>
      <w:szCs w:val="24"/>
      <w:lang w:val="en-US" w:eastAsia="zh-CN" w:bidi="ar"/>
    </w:rPr>
  </w:style>
  <w:style w:type="paragraph" w:customStyle="1" w:styleId="5">
    <w:name w:val="BodyText"/>
    <w:next w:val="6"/>
    <w:qFormat/>
    <w:uiPriority w:val="0"/>
    <w:pPr>
      <w:widowControl w:val="0"/>
      <w:snapToGrid w:val="0"/>
      <w:spacing w:after="120" w:line="560" w:lineRule="exact"/>
      <w:ind w:firstLine="883" w:firstLineChars="200"/>
      <w:jc w:val="both"/>
      <w:textAlignment w:val="baseline"/>
    </w:pPr>
    <w:rPr>
      <w:rFonts w:ascii="Calibri" w:hAnsi="Calibri" w:eastAsia="宋体" w:cs="Times New Roman"/>
      <w:color w:val="000000"/>
      <w:kern w:val="2"/>
      <w:sz w:val="21"/>
      <w:szCs w:val="24"/>
      <w:lang w:val="zh-CN" w:eastAsia="zh-CN" w:bidi="ar-SA"/>
    </w:rPr>
  </w:style>
  <w:style w:type="paragraph" w:customStyle="1" w:styleId="6">
    <w:name w:val="PlainText"/>
    <w:qFormat/>
    <w:uiPriority w:val="0"/>
    <w:pPr>
      <w:widowControl w:val="0"/>
      <w:snapToGrid w:val="0"/>
      <w:spacing w:line="560" w:lineRule="exact"/>
      <w:ind w:firstLine="883" w:firstLineChars="200"/>
      <w:jc w:val="both"/>
      <w:textAlignment w:val="baseline"/>
    </w:pPr>
    <w:rPr>
      <w:rFonts w:ascii="宋体" w:hAnsi="Courier New" w:eastAsia="宋体" w:cs="Times New Roman"/>
      <w:color w:val="000000"/>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1475</Words>
  <Characters>1510</Characters>
  <Lines>0</Lines>
  <Paragraphs>0</Paragraphs>
  <TotalTime>4</TotalTime>
  <ScaleCrop>false</ScaleCrop>
  <LinksUpToDate>false</LinksUpToDate>
  <CharactersWithSpaces>1511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2026-04-17T08:03:00Z</dcterms:created>
  <dc:creator>aVc</dc:creator>
  <cp:lastModifiedBy>aVc</cp:lastModifiedBy>
  <dcterms:modified xsi:type="dcterms:W3CDTF">2026-05-06T09:38:20Z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B6459C6D2AAC49199E91B37A34E400D9_13</vt:lpwstr>
  </property>
  <property fmtid="{D5CDD505-2E9C-101B-9397-08002B2CF9AE}" pid="4" name="KSOTemplateDocerSaveRecord">
    <vt:lpwstr>eyJoZGlkIjoiMDRmZDRmZTUzMDJiNDYzMmYzOGE2MDQ2NzUzZDJhYmEiLCJ1c2VySWQiOiI0NTk4Nzg4NDQifQ==</vt:lpwstr>
  </property>
</Properties>
</file>