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07F2C">
      <w:pPr>
        <w:jc w:val="center"/>
        <w:rPr>
          <w:rFonts w:ascii="Times New Roman" w:hAnsi="Times New Roman" w:eastAsia="方正小标宋简体" w:cs="Times New Roman"/>
          <w:spacing w:val="-6"/>
          <w:sz w:val="44"/>
          <w:szCs w:val="44"/>
          <w:lang w:eastAsia="zh-CN"/>
        </w:rPr>
      </w:pPr>
      <w:r>
        <w:rPr>
          <w:rFonts w:hint="eastAsia" w:ascii="Times New Roman" w:hAnsi="Times New Roman" w:eastAsia="方正小标宋简体" w:cs="Times New Roman"/>
          <w:spacing w:val="-6"/>
          <w:sz w:val="44"/>
          <w:szCs w:val="44"/>
          <w:lang w:eastAsia="zh-CN"/>
        </w:rPr>
        <w:t>“成都发展改革”政务新媒体短视频拍摄制作</w:t>
      </w:r>
      <w:r>
        <w:rPr>
          <w:rFonts w:hint="eastAsia" w:ascii="Times New Roman" w:hAnsi="Times New Roman" w:eastAsia="方正小标宋简体" w:cs="Times New Roman"/>
          <w:spacing w:val="-6"/>
          <w:sz w:val="44"/>
          <w:szCs w:val="44"/>
          <w:lang w:val="en-US" w:eastAsia="zh-CN"/>
        </w:rPr>
        <w:t>和推广</w:t>
      </w:r>
      <w:r>
        <w:rPr>
          <w:rFonts w:hint="eastAsia" w:ascii="Times New Roman" w:hAnsi="Times New Roman" w:eastAsia="方正小标宋简体" w:cs="Times New Roman"/>
          <w:spacing w:val="-6"/>
          <w:sz w:val="44"/>
          <w:szCs w:val="44"/>
          <w:lang w:eastAsia="zh-CN"/>
        </w:rPr>
        <w:t>服务（202</w:t>
      </w:r>
      <w:r>
        <w:rPr>
          <w:rFonts w:hint="eastAsia" w:ascii="Times New Roman" w:hAnsi="Times New Roman" w:eastAsia="方正小标宋简体" w:cs="Times New Roman"/>
          <w:spacing w:val="-6"/>
          <w:sz w:val="44"/>
          <w:szCs w:val="44"/>
          <w:lang w:val="en-US" w:eastAsia="zh-CN"/>
        </w:rPr>
        <w:t>6</w:t>
      </w:r>
      <w:r>
        <w:rPr>
          <w:rFonts w:hint="eastAsia" w:ascii="Times New Roman" w:hAnsi="Times New Roman" w:eastAsia="方正小标宋简体" w:cs="Times New Roman"/>
          <w:spacing w:val="-6"/>
          <w:sz w:val="44"/>
          <w:szCs w:val="44"/>
          <w:lang w:eastAsia="zh-CN"/>
        </w:rPr>
        <w:t>年度）</w:t>
      </w:r>
      <w:r>
        <w:rPr>
          <w:rFonts w:ascii="Times New Roman" w:hAnsi="Times New Roman" w:eastAsia="方正小标宋简体" w:cs="Times New Roman"/>
          <w:spacing w:val="-6"/>
          <w:sz w:val="44"/>
          <w:szCs w:val="44"/>
          <w:lang w:eastAsia="zh-CN"/>
        </w:rPr>
        <w:t>询价要素</w:t>
      </w:r>
    </w:p>
    <w:p w14:paraId="26C197C6">
      <w:pPr>
        <w:spacing w:line="581" w:lineRule="exact"/>
        <w:rPr>
          <w:rFonts w:ascii="Times New Roman" w:hAnsi="Times New Roman" w:eastAsia="仿宋_GB2312" w:cs="Times New Roman"/>
          <w:spacing w:val="5"/>
          <w:sz w:val="32"/>
          <w:szCs w:val="32"/>
          <w:lang w:eastAsia="zh-CN"/>
        </w:rPr>
      </w:pPr>
      <w:r>
        <w:rPr>
          <w:rFonts w:hint="eastAsia" w:ascii="Times New Roman" w:hAnsi="Times New Roman" w:eastAsia="仿宋_GB2312" w:cs="Times New Roman"/>
          <w:spacing w:val="5"/>
          <w:sz w:val="32"/>
          <w:szCs w:val="32"/>
          <w:lang w:eastAsia="zh-CN"/>
        </w:rPr>
        <w:t>　　</w:t>
      </w:r>
      <w:r>
        <w:rPr>
          <w:rFonts w:ascii="Times New Roman" w:hAnsi="Times New Roman" w:eastAsia="仿宋_GB2312" w:cs="Times New Roman"/>
          <w:spacing w:val="5"/>
          <w:sz w:val="32"/>
          <w:szCs w:val="32"/>
          <w:lang w:eastAsia="zh-CN"/>
        </w:rPr>
        <w:t>一、项目名称：</w:t>
      </w:r>
      <w:r>
        <w:rPr>
          <w:rFonts w:hint="eastAsia" w:ascii="Times New Roman" w:hAnsi="Times New Roman" w:eastAsia="仿宋_GB2312" w:cs="Times New Roman"/>
          <w:spacing w:val="5"/>
          <w:sz w:val="32"/>
          <w:szCs w:val="32"/>
          <w:lang w:eastAsia="zh-CN"/>
        </w:rPr>
        <w:t>“成都发展改革”政务新媒体短视频拍摄制作</w:t>
      </w:r>
      <w:r>
        <w:rPr>
          <w:rFonts w:hint="eastAsia" w:ascii="Times New Roman" w:hAnsi="Times New Roman" w:eastAsia="仿宋_GB2312" w:cs="Times New Roman"/>
          <w:spacing w:val="5"/>
          <w:sz w:val="32"/>
          <w:szCs w:val="32"/>
          <w:lang w:val="en-US" w:eastAsia="zh-CN"/>
        </w:rPr>
        <w:t>和推广</w:t>
      </w:r>
      <w:r>
        <w:rPr>
          <w:rFonts w:hint="eastAsia" w:ascii="Times New Roman" w:hAnsi="Times New Roman" w:eastAsia="仿宋_GB2312" w:cs="Times New Roman"/>
          <w:spacing w:val="5"/>
          <w:sz w:val="32"/>
          <w:szCs w:val="32"/>
          <w:lang w:eastAsia="zh-CN"/>
        </w:rPr>
        <w:t>服务（202</w:t>
      </w:r>
      <w:r>
        <w:rPr>
          <w:rFonts w:hint="eastAsia" w:ascii="Times New Roman" w:hAnsi="Times New Roman" w:eastAsia="仿宋_GB2312" w:cs="Times New Roman"/>
          <w:spacing w:val="5"/>
          <w:sz w:val="32"/>
          <w:szCs w:val="32"/>
          <w:lang w:val="en-US" w:eastAsia="zh-CN"/>
        </w:rPr>
        <w:t>6</w:t>
      </w:r>
      <w:r>
        <w:rPr>
          <w:rFonts w:hint="eastAsia" w:ascii="Times New Roman" w:hAnsi="Times New Roman" w:eastAsia="仿宋_GB2312" w:cs="Times New Roman"/>
          <w:spacing w:val="5"/>
          <w:sz w:val="32"/>
          <w:szCs w:val="32"/>
          <w:lang w:eastAsia="zh-CN"/>
        </w:rPr>
        <w:t>年度）</w:t>
      </w:r>
    </w:p>
    <w:p w14:paraId="4E30BEF1">
      <w:pPr>
        <w:pStyle w:val="2"/>
        <w:spacing w:after="120" w:afterLines="50" w:line="590" w:lineRule="exact"/>
        <w:ind w:firstLine="656" w:firstLineChars="200"/>
        <w:rPr>
          <w:rFonts w:ascii="Times New Roman" w:hAnsi="Times New Roman" w:eastAsia="仿宋_GB2312" w:cs="Times New Roman"/>
          <w:spacing w:val="4"/>
          <w:sz w:val="32"/>
          <w:szCs w:val="32"/>
          <w:lang w:eastAsia="zh-CN"/>
        </w:rPr>
      </w:pPr>
      <w:r>
        <w:rPr>
          <w:rFonts w:ascii="Times New Roman" w:hAnsi="Times New Roman" w:eastAsia="仿宋_GB2312" w:cs="Times New Roman"/>
          <w:spacing w:val="4"/>
          <w:sz w:val="32"/>
          <w:szCs w:val="32"/>
        </w:rPr>
        <w:t>二、采购需求</w:t>
      </w:r>
    </w:p>
    <w:tbl>
      <w:tblPr>
        <w:tblStyle w:val="3"/>
        <w:tblW w:w="52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0" w:type="dxa"/>
          <w:right w:w="108" w:type="dxa"/>
        </w:tblCellMar>
      </w:tblPr>
      <w:tblGrid>
        <w:gridCol w:w="756"/>
        <w:gridCol w:w="1348"/>
        <w:gridCol w:w="6796"/>
      </w:tblGrid>
      <w:tr w14:paraId="4D10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75" w:hRule="atLeast"/>
        </w:trPr>
        <w:tc>
          <w:tcPr>
            <w:tcW w:w="425" w:type="pct"/>
            <w:vAlign w:val="center"/>
          </w:tcPr>
          <w:p w14:paraId="1A092CB3">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ascii="Times New Roman" w:hAnsi="Times New Roman" w:eastAsia="黑体" w:cs="Times New Roman"/>
                <w:snapToGrid/>
                <w:sz w:val="28"/>
                <w:szCs w:val="28"/>
                <w:lang w:eastAsia="zh-CN"/>
              </w:rPr>
              <w:t>序号</w:t>
            </w:r>
          </w:p>
        </w:tc>
        <w:tc>
          <w:tcPr>
            <w:tcW w:w="757" w:type="pct"/>
            <w:vAlign w:val="center"/>
          </w:tcPr>
          <w:p w14:paraId="6D047DDB">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ascii="Times New Roman" w:hAnsi="Times New Roman" w:eastAsia="黑体" w:cs="Times New Roman"/>
                <w:snapToGrid/>
                <w:sz w:val="28"/>
                <w:szCs w:val="28"/>
                <w:lang w:eastAsia="zh-CN"/>
              </w:rPr>
              <w:t>询价要素</w:t>
            </w:r>
          </w:p>
        </w:tc>
        <w:tc>
          <w:tcPr>
            <w:tcW w:w="3816" w:type="pct"/>
            <w:vAlign w:val="center"/>
          </w:tcPr>
          <w:p w14:paraId="70E99BEF">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ascii="Times New Roman" w:hAnsi="Times New Roman" w:eastAsia="黑体" w:cs="Times New Roman"/>
                <w:snapToGrid/>
                <w:sz w:val="28"/>
                <w:szCs w:val="28"/>
                <w:lang w:eastAsia="zh-CN"/>
              </w:rPr>
              <w:t>采购需求</w:t>
            </w:r>
          </w:p>
        </w:tc>
      </w:tr>
      <w:tr w14:paraId="4D25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855" w:hRule="atLeast"/>
        </w:trPr>
        <w:tc>
          <w:tcPr>
            <w:tcW w:w="425" w:type="pct"/>
            <w:vAlign w:val="center"/>
          </w:tcPr>
          <w:p w14:paraId="7F309848">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1</w:t>
            </w:r>
          </w:p>
        </w:tc>
        <w:tc>
          <w:tcPr>
            <w:tcW w:w="757" w:type="pct"/>
            <w:vAlign w:val="center"/>
          </w:tcPr>
          <w:p w14:paraId="064F0DF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采购目标与用途</w:t>
            </w:r>
          </w:p>
        </w:tc>
        <w:tc>
          <w:tcPr>
            <w:tcW w:w="3816" w:type="pct"/>
            <w:vAlign w:val="center"/>
          </w:tcPr>
          <w:p w14:paraId="7ADE860B">
            <w:pPr>
              <w:spacing w:line="264" w:lineRule="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本次采购主要为落实《国务院办公厅秘书局关于印发政府网站与政务新媒体检查指标、监管工作年度考核指标的通知》、《国务院办公厅关于推进政务新媒体健康有序发展的意见》（国办发〔2018〕123号）要求，结合互联网时代发展改革新闻宣传和舆论引导工作需要，提供专业的政务新媒体</w:t>
            </w:r>
            <w:r>
              <w:rPr>
                <w:rFonts w:hint="eastAsia" w:ascii="Times New Roman" w:hAnsi="Times New Roman" w:eastAsia="宋体" w:cs="Times New Roman"/>
                <w:snapToGrid/>
                <w:sz w:val="24"/>
                <w:szCs w:val="24"/>
                <w:lang w:val="en-US" w:eastAsia="zh-CN"/>
              </w:rPr>
              <w:t>短视频拍摄制作和推广服务。围绕成都发展改革</w:t>
            </w:r>
            <w:r>
              <w:rPr>
                <w:rFonts w:hint="eastAsia" w:ascii="Times New Roman" w:hAnsi="Times New Roman" w:eastAsia="宋体" w:cs="Times New Roman"/>
                <w:snapToGrid/>
                <w:sz w:val="24"/>
                <w:szCs w:val="24"/>
                <w:lang w:eastAsia="zh-CN"/>
              </w:rPr>
              <w:t>相关重大规划、经济运行数据、重点工作推进等</w:t>
            </w:r>
            <w:r>
              <w:rPr>
                <w:rFonts w:hint="eastAsia" w:ascii="Times New Roman" w:hAnsi="Times New Roman" w:eastAsia="宋体" w:cs="Times New Roman"/>
                <w:snapToGrid/>
                <w:sz w:val="24"/>
                <w:szCs w:val="24"/>
                <w:lang w:val="en-US" w:eastAsia="zh-CN"/>
              </w:rPr>
              <w:t>主题</w:t>
            </w:r>
            <w:r>
              <w:rPr>
                <w:rFonts w:hint="eastAsia" w:ascii="Times New Roman" w:hAnsi="Times New Roman" w:eastAsia="宋体" w:cs="Times New Roman"/>
                <w:snapToGrid/>
                <w:sz w:val="24"/>
                <w:szCs w:val="24"/>
                <w:lang w:eastAsia="zh-CN"/>
              </w:rPr>
              <w:t>，</w:t>
            </w:r>
            <w:r>
              <w:rPr>
                <w:rFonts w:hint="eastAsia" w:ascii="Times New Roman" w:hAnsi="Times New Roman" w:eastAsia="宋体" w:cs="Times New Roman"/>
                <w:snapToGrid/>
                <w:sz w:val="24"/>
                <w:szCs w:val="24"/>
                <w:lang w:val="en-US" w:eastAsia="zh-CN"/>
              </w:rPr>
              <w:t>设</w:t>
            </w:r>
            <w:r>
              <w:rPr>
                <w:rFonts w:hint="eastAsia" w:ascii="Times New Roman" w:hAnsi="Times New Roman" w:eastAsia="宋体" w:cs="Times New Roman"/>
                <w:snapToGrid/>
                <w:sz w:val="24"/>
                <w:szCs w:val="24"/>
                <w:lang w:eastAsia="zh-CN"/>
              </w:rPr>
              <w:t>计制作有利于移动端传播的短视频，通过“成都发展改革”微信视频号</w:t>
            </w:r>
            <w:r>
              <w:rPr>
                <w:rFonts w:hint="eastAsia" w:ascii="Times New Roman" w:hAnsi="Times New Roman" w:eastAsia="宋体" w:cs="Times New Roman"/>
                <w:snapToGrid/>
                <w:sz w:val="24"/>
                <w:szCs w:val="24"/>
                <w:lang w:val="en-US" w:eastAsia="zh-CN"/>
              </w:rPr>
              <w:t>等渠道</w:t>
            </w:r>
            <w:r>
              <w:rPr>
                <w:rFonts w:hint="eastAsia" w:ascii="Times New Roman" w:hAnsi="Times New Roman" w:eastAsia="宋体" w:cs="Times New Roman"/>
                <w:snapToGrid/>
                <w:sz w:val="24"/>
                <w:szCs w:val="24"/>
                <w:lang w:eastAsia="zh-CN"/>
              </w:rPr>
              <w:t>对外发布，</w:t>
            </w:r>
            <w:r>
              <w:rPr>
                <w:rFonts w:hint="eastAsia" w:ascii="Times New Roman" w:hAnsi="Times New Roman" w:eastAsia="宋体" w:cs="Times New Roman"/>
                <w:snapToGrid/>
                <w:sz w:val="24"/>
                <w:szCs w:val="24"/>
                <w:lang w:val="en-US" w:eastAsia="zh-CN"/>
              </w:rPr>
              <w:t>提升传播影响力和社会公众接受度</w:t>
            </w:r>
            <w:r>
              <w:rPr>
                <w:rFonts w:hint="eastAsia" w:ascii="Times New Roman" w:hAnsi="Times New Roman" w:eastAsia="宋体" w:cs="Times New Roman"/>
                <w:snapToGrid/>
                <w:sz w:val="24"/>
                <w:szCs w:val="24"/>
                <w:lang w:eastAsia="zh-CN"/>
              </w:rPr>
              <w:t>。</w:t>
            </w:r>
          </w:p>
        </w:tc>
      </w:tr>
      <w:tr w14:paraId="300B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70" w:hRule="atLeast"/>
        </w:trPr>
        <w:tc>
          <w:tcPr>
            <w:tcW w:w="425" w:type="pct"/>
            <w:vAlign w:val="center"/>
          </w:tcPr>
          <w:p w14:paraId="30556EEE">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2</w:t>
            </w:r>
          </w:p>
        </w:tc>
        <w:tc>
          <w:tcPr>
            <w:tcW w:w="757" w:type="pct"/>
            <w:vAlign w:val="center"/>
          </w:tcPr>
          <w:p w14:paraId="748871A5">
            <w:pPr>
              <w:spacing w:line="264" w:lineRule="auto"/>
              <w:jc w:val="center"/>
              <w:rPr>
                <w:rFonts w:hint="eastAsia"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标的物/服务名称</w:t>
            </w:r>
          </w:p>
        </w:tc>
        <w:tc>
          <w:tcPr>
            <w:tcW w:w="3816" w:type="pct"/>
            <w:vAlign w:val="center"/>
          </w:tcPr>
          <w:p w14:paraId="4934F485">
            <w:pPr>
              <w:spacing w:line="264" w:lineRule="auto"/>
              <w:rPr>
                <w:rFonts w:hint="eastAsia"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“成都发展改革”政务新媒体短视频拍摄制作</w:t>
            </w:r>
            <w:r>
              <w:rPr>
                <w:rFonts w:hint="eastAsia" w:ascii="Times New Roman" w:hAnsi="Times New Roman" w:eastAsia="宋体" w:cs="Times New Roman"/>
                <w:snapToGrid/>
                <w:sz w:val="24"/>
                <w:szCs w:val="24"/>
                <w:lang w:val="en-US" w:eastAsia="zh-CN"/>
              </w:rPr>
              <w:t>和推广</w:t>
            </w:r>
            <w:r>
              <w:rPr>
                <w:rFonts w:hint="eastAsia" w:ascii="Times New Roman" w:hAnsi="Times New Roman" w:eastAsia="宋体" w:cs="Times New Roman"/>
                <w:snapToGrid/>
                <w:sz w:val="24"/>
                <w:szCs w:val="24"/>
                <w:lang w:eastAsia="zh-CN"/>
              </w:rPr>
              <w:t>服务（202</w:t>
            </w:r>
            <w:r>
              <w:rPr>
                <w:rFonts w:hint="eastAsia" w:ascii="Times New Roman" w:hAnsi="Times New Roman" w:eastAsia="宋体" w:cs="Times New Roman"/>
                <w:snapToGrid/>
                <w:sz w:val="24"/>
                <w:szCs w:val="24"/>
                <w:lang w:val="en-US" w:eastAsia="zh-CN"/>
              </w:rPr>
              <w:t>6</w:t>
            </w:r>
            <w:r>
              <w:rPr>
                <w:rFonts w:hint="eastAsia" w:ascii="Times New Roman" w:hAnsi="Times New Roman" w:eastAsia="宋体" w:cs="Times New Roman"/>
                <w:snapToGrid/>
                <w:sz w:val="24"/>
                <w:szCs w:val="24"/>
                <w:lang w:eastAsia="zh-CN"/>
              </w:rPr>
              <w:t>年度）</w:t>
            </w:r>
          </w:p>
        </w:tc>
      </w:tr>
      <w:tr w14:paraId="0A64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425" w:type="pct"/>
            <w:vMerge w:val="restart"/>
            <w:vAlign w:val="center"/>
          </w:tcPr>
          <w:p w14:paraId="3641F7C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2</w:t>
            </w:r>
          </w:p>
        </w:tc>
        <w:tc>
          <w:tcPr>
            <w:tcW w:w="757" w:type="pct"/>
            <w:vMerge w:val="restart"/>
            <w:vAlign w:val="center"/>
          </w:tcPr>
          <w:p w14:paraId="1BCBD3A1">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功能性能/服务要求</w:t>
            </w:r>
          </w:p>
        </w:tc>
        <w:tc>
          <w:tcPr>
            <w:tcW w:w="3816" w:type="pct"/>
            <w:vMerge w:val="restart"/>
            <w:vAlign w:val="center"/>
          </w:tcPr>
          <w:p w14:paraId="64AFB862">
            <w:pPr>
              <w:spacing w:line="264" w:lineRule="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一、服务内容</w:t>
            </w:r>
          </w:p>
          <w:p w14:paraId="2B9960E8">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根据工作主题特点，提供短视频拍摄制作服务。通过梳理内容、创新形式，加强视频原创策划，探索融入发展改革特色，增强视频精细化制作，采用多种呈现形式制作视频，提升传播推广效应，确保视频最终效果适宜传播、内容准确、形式新颖，助力提升“成都发展改革”政务新媒体和成都市发展改革委相关重点工作的传播力。</w:t>
            </w:r>
          </w:p>
          <w:p w14:paraId="4757988C">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1.视频策划服务</w:t>
            </w:r>
          </w:p>
          <w:p w14:paraId="232F60F9">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围绕国民经济运行情况、公园城市建设、经济发展运行、产业发展、创新改革、财政金融、开放开发、基础设施建设等重点工作，以及拟定的重要节点，策划符合群众阅读习惯和新媒体传播规律，具有生动、风趣、幽默、感人、深刻等多种风格的原创短视频，确保作品导向正确、制作精良，多角度展现发展改革工作成效。</w:t>
            </w:r>
          </w:p>
          <w:p w14:paraId="60CC29B8">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2.短视频拍摄服务</w:t>
            </w:r>
          </w:p>
          <w:p w14:paraId="7A8C8400">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组织专业的、高素质的拍摄团队，根据视频策划主题，运用镜头语言，以高质量、多角度的镜头方式，生动形象地展现视频策划主题内容。</w:t>
            </w:r>
          </w:p>
          <w:p w14:paraId="4EB3892F">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3.短视频制作服务</w:t>
            </w:r>
          </w:p>
          <w:p w14:paraId="1E2F9CDE">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组织专业、高素质的后期制作团队，开展视频后期剪辑、节目效果以及音乐、音效、字幕等制作，形成能够充分展示主题，市民群众喜闻乐见、易于传播的视频。</w:t>
            </w:r>
          </w:p>
          <w:p w14:paraId="2322E72C">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4. 好感度运营服务</w:t>
            </w:r>
          </w:p>
          <w:p w14:paraId="6D8A567B">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针对“成都发展改革”微信公众号，由中标单位采购视频好感度运营服务，投放于相关新媒体矩阵平台或“</w:t>
            </w:r>
            <w:r>
              <w:rPr>
                <w:rFonts w:hint="default" w:ascii="Times New Roman" w:hAnsi="Times New Roman" w:eastAsia="宋体" w:cs="Times New Roman"/>
                <w:snapToGrid/>
                <w:sz w:val="24"/>
                <w:szCs w:val="24"/>
                <w:lang w:val="en-US" w:eastAsia="zh-Hans"/>
              </w:rPr>
              <w:t>成都发展改革”微信视频号</w:t>
            </w:r>
            <w:r>
              <w:rPr>
                <w:rFonts w:hint="eastAsia" w:ascii="Times New Roman" w:hAnsi="Times New Roman" w:eastAsia="宋体" w:cs="Times New Roman"/>
                <w:snapToGrid/>
                <w:sz w:val="24"/>
                <w:szCs w:val="24"/>
                <w:lang w:val="en-US" w:eastAsia="zh-CN"/>
              </w:rPr>
              <w:t>等，扩大知晓度和影响力。</w:t>
            </w:r>
          </w:p>
          <w:p w14:paraId="7BE87089">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二、服务要求</w:t>
            </w:r>
          </w:p>
          <w:p w14:paraId="06FAD629">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1.视频格式：MP4；</w:t>
            </w:r>
          </w:p>
          <w:p w14:paraId="446920F2">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2.视频尺寸：根据标准设定；</w:t>
            </w:r>
          </w:p>
          <w:p w14:paraId="0F059E39">
            <w:pPr>
              <w:spacing w:line="264" w:lineRule="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3.视频规格：视频以竖屏呈现，分辨率1080P，帧率：30fps；</w:t>
            </w:r>
          </w:p>
          <w:p w14:paraId="32044331">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4.视频画面：大气或创意十足，以流畅的画面感和强烈的视觉冲击力感染人，画质清晰平稳（特殊要求除外），剪辑流畅，特效、调色恰当协调。</w:t>
            </w:r>
          </w:p>
          <w:p w14:paraId="390935FF">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5.视频配音：根据视频制作需要提供配音服务，配音风格需符合视频主题，音质清晰、流畅、标准。</w:t>
            </w:r>
          </w:p>
          <w:p w14:paraId="7DFE49DE">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6.每期视频需单独提供策划方案。</w:t>
            </w:r>
          </w:p>
        </w:tc>
      </w:tr>
      <w:tr w14:paraId="2DF3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425" w:type="pct"/>
            <w:vMerge w:val="continue"/>
            <w:vAlign w:val="center"/>
          </w:tcPr>
          <w:p w14:paraId="4AE73DA2">
            <w:pPr>
              <w:kinsoku/>
              <w:autoSpaceDE/>
              <w:autoSpaceDN/>
              <w:adjustRightInd/>
              <w:snapToGrid/>
              <w:textAlignment w:val="auto"/>
              <w:rPr>
                <w:rFonts w:ascii="Times New Roman" w:hAnsi="Times New Roman" w:eastAsia="宋体" w:cs="Times New Roman"/>
                <w:snapToGrid/>
                <w:sz w:val="24"/>
                <w:szCs w:val="24"/>
                <w:lang w:eastAsia="zh-CN"/>
              </w:rPr>
            </w:pPr>
          </w:p>
        </w:tc>
        <w:tc>
          <w:tcPr>
            <w:tcW w:w="757" w:type="pct"/>
            <w:vMerge w:val="continue"/>
            <w:vAlign w:val="center"/>
          </w:tcPr>
          <w:p w14:paraId="243441E6">
            <w:pPr>
              <w:kinsoku/>
              <w:autoSpaceDE/>
              <w:autoSpaceDN/>
              <w:adjustRightInd/>
              <w:snapToGrid/>
              <w:textAlignment w:val="auto"/>
              <w:rPr>
                <w:rFonts w:ascii="Times New Roman" w:hAnsi="Times New Roman" w:eastAsia="宋体" w:cs="Times New Roman"/>
                <w:snapToGrid/>
                <w:sz w:val="24"/>
                <w:szCs w:val="24"/>
                <w:lang w:eastAsia="zh-CN"/>
              </w:rPr>
            </w:pPr>
          </w:p>
        </w:tc>
        <w:tc>
          <w:tcPr>
            <w:tcW w:w="3816" w:type="pct"/>
            <w:vMerge w:val="continue"/>
            <w:vAlign w:val="center"/>
          </w:tcPr>
          <w:p w14:paraId="00BE1139">
            <w:pPr>
              <w:kinsoku/>
              <w:autoSpaceDE/>
              <w:autoSpaceDN/>
              <w:adjustRightInd/>
              <w:snapToGrid/>
              <w:textAlignment w:val="auto"/>
              <w:rPr>
                <w:rFonts w:ascii="Times New Roman" w:hAnsi="Times New Roman" w:eastAsia="宋体" w:cs="Times New Roman"/>
                <w:snapToGrid/>
                <w:sz w:val="24"/>
                <w:szCs w:val="24"/>
                <w:lang w:eastAsia="zh-CN"/>
              </w:rPr>
            </w:pPr>
          </w:p>
        </w:tc>
      </w:tr>
      <w:tr w14:paraId="793E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5" w:hRule="atLeast"/>
        </w:trPr>
        <w:tc>
          <w:tcPr>
            <w:tcW w:w="425" w:type="pct"/>
            <w:vAlign w:val="center"/>
          </w:tcPr>
          <w:p w14:paraId="6D6FF503">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3</w:t>
            </w:r>
          </w:p>
        </w:tc>
        <w:tc>
          <w:tcPr>
            <w:tcW w:w="757" w:type="pct"/>
            <w:vAlign w:val="center"/>
          </w:tcPr>
          <w:p w14:paraId="7B1756B1">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数量/服务期限</w:t>
            </w:r>
          </w:p>
        </w:tc>
        <w:tc>
          <w:tcPr>
            <w:tcW w:w="3816" w:type="pct"/>
            <w:vAlign w:val="center"/>
          </w:tcPr>
          <w:p w14:paraId="3B97B183">
            <w:pPr>
              <w:spacing w:line="264" w:lineRule="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一、</w:t>
            </w:r>
            <w:r>
              <w:rPr>
                <w:rFonts w:hint="eastAsia" w:ascii="Times New Roman" w:hAnsi="Times New Roman" w:eastAsia="宋体" w:cs="Times New Roman"/>
                <w:snapToGrid/>
                <w:sz w:val="24"/>
                <w:szCs w:val="24"/>
                <w:lang w:val="en-US" w:eastAsia="zh-CN"/>
              </w:rPr>
              <w:t>服务</w:t>
            </w:r>
            <w:r>
              <w:rPr>
                <w:rFonts w:hint="eastAsia" w:ascii="Times New Roman" w:hAnsi="Times New Roman" w:eastAsia="宋体" w:cs="Times New Roman"/>
                <w:snapToGrid/>
                <w:sz w:val="24"/>
                <w:szCs w:val="24"/>
                <w:lang w:eastAsia="zh-CN"/>
              </w:rPr>
              <w:t>数量要求</w:t>
            </w:r>
          </w:p>
          <w:p w14:paraId="03FD2766">
            <w:pPr>
              <w:spacing w:line="264" w:lineRule="auto"/>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根据采购方年度工作中提出的具体需求进行匹配详细的视频内容需求及制作方式，单个视频时长预计在1-4分钟之间</w:t>
            </w:r>
            <w:bookmarkStart w:id="0" w:name="_GoBack"/>
            <w:bookmarkEnd w:id="0"/>
            <w:r>
              <w:rPr>
                <w:rFonts w:hint="eastAsia" w:ascii="Times New Roman" w:hAnsi="Times New Roman" w:eastAsia="宋体" w:cs="Times New Roman"/>
                <w:snapToGrid/>
                <w:sz w:val="24"/>
                <w:szCs w:val="24"/>
                <w:lang w:val="en-US" w:eastAsia="zh-CN"/>
              </w:rPr>
              <w:t>，原则上年度制作视频6条，视频形式采用主题策划视频、MG 动画视频、AIGC视频、延时视频、</w:t>
            </w:r>
            <w:r>
              <w:rPr>
                <w:rFonts w:hint="eastAsia" w:ascii="Times New Roman" w:hAnsi="Times New Roman" w:eastAsia="宋体" w:cs="Times New Roman"/>
                <w:snapToGrid/>
                <w:sz w:val="24"/>
                <w:szCs w:val="24"/>
                <w:lang w:val="en-US" w:eastAsia="zh-Hans"/>
              </w:rPr>
              <w:t>人物故事拍摄</w:t>
            </w:r>
            <w:r>
              <w:rPr>
                <w:rFonts w:hint="eastAsia" w:ascii="Times New Roman" w:hAnsi="Times New Roman" w:eastAsia="宋体" w:cs="Times New Roman"/>
                <w:snapToGrid/>
                <w:sz w:val="24"/>
                <w:szCs w:val="24"/>
                <w:lang w:val="en-US" w:eastAsia="zh-CN"/>
              </w:rPr>
              <w:t>、</w:t>
            </w:r>
            <w:r>
              <w:rPr>
                <w:rFonts w:hint="eastAsia" w:ascii="Times New Roman" w:hAnsi="Times New Roman" w:eastAsia="宋体" w:cs="Times New Roman"/>
                <w:snapToGrid/>
                <w:sz w:val="24"/>
                <w:szCs w:val="24"/>
                <w:lang w:val="en-US" w:eastAsia="zh-Hans"/>
              </w:rPr>
              <w:t>微短剧</w:t>
            </w:r>
            <w:r>
              <w:rPr>
                <w:rFonts w:hint="eastAsia" w:ascii="Times New Roman" w:hAnsi="Times New Roman" w:eastAsia="宋体" w:cs="Times New Roman"/>
                <w:snapToGrid/>
                <w:sz w:val="24"/>
                <w:szCs w:val="24"/>
                <w:lang w:val="en-US" w:eastAsia="zh-CN"/>
              </w:rPr>
              <w:t>、</w:t>
            </w:r>
            <w:r>
              <w:rPr>
                <w:rFonts w:hint="eastAsia" w:ascii="Times New Roman" w:hAnsi="Times New Roman" w:eastAsia="宋体" w:cs="Times New Roman"/>
                <w:snapToGrid/>
                <w:sz w:val="24"/>
                <w:szCs w:val="24"/>
                <w:lang w:val="en-US" w:eastAsia="zh-Hans"/>
              </w:rPr>
              <w:t>手绘动画</w:t>
            </w:r>
            <w:r>
              <w:rPr>
                <w:rFonts w:hint="eastAsia" w:ascii="Times New Roman" w:hAnsi="Times New Roman" w:eastAsia="宋体" w:cs="Times New Roman"/>
                <w:snapToGrid/>
                <w:sz w:val="24"/>
                <w:szCs w:val="24"/>
                <w:lang w:val="en-US" w:eastAsia="zh-CN"/>
              </w:rPr>
              <w:t>等形式。好感度运营服务1套。</w:t>
            </w:r>
          </w:p>
          <w:p w14:paraId="7A6DA9F0">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三、服务期限</w:t>
            </w:r>
          </w:p>
          <w:p w14:paraId="6069D806">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自合同签订之日至202</w:t>
            </w:r>
            <w:r>
              <w:rPr>
                <w:rFonts w:ascii="Times New Roman" w:hAnsi="Times New Roman" w:eastAsia="宋体" w:cs="Times New Roman"/>
                <w:snapToGrid/>
                <w:sz w:val="24"/>
                <w:szCs w:val="24"/>
                <w:lang w:eastAsia="zh-CN"/>
              </w:rPr>
              <w:t>6</w:t>
            </w:r>
            <w:r>
              <w:rPr>
                <w:rFonts w:hint="eastAsia" w:ascii="Times New Roman" w:hAnsi="Times New Roman" w:eastAsia="宋体" w:cs="Times New Roman"/>
                <w:snapToGrid/>
                <w:sz w:val="24"/>
                <w:szCs w:val="24"/>
                <w:lang w:eastAsia="zh-CN"/>
              </w:rPr>
              <w:t>年12月31日。</w:t>
            </w:r>
          </w:p>
        </w:tc>
      </w:tr>
      <w:tr w14:paraId="7E85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425" w:type="pct"/>
            <w:vMerge w:val="restart"/>
            <w:vAlign w:val="center"/>
          </w:tcPr>
          <w:p w14:paraId="2EFEEEB7">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4</w:t>
            </w:r>
          </w:p>
        </w:tc>
        <w:tc>
          <w:tcPr>
            <w:tcW w:w="757" w:type="pct"/>
            <w:vMerge w:val="restart"/>
            <w:vAlign w:val="center"/>
          </w:tcPr>
          <w:p w14:paraId="0518B342">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商务要求</w:t>
            </w:r>
          </w:p>
        </w:tc>
        <w:tc>
          <w:tcPr>
            <w:tcW w:w="3816" w:type="pct"/>
            <w:shd w:val="clear" w:color="auto" w:fill="auto"/>
            <w:vAlign w:val="center"/>
          </w:tcPr>
          <w:p w14:paraId="0270A30D">
            <w:pPr>
              <w:kinsoku/>
              <w:autoSpaceDE/>
              <w:autoSpaceDN/>
              <w:adjustRightInd/>
              <w:snapToGrid/>
              <w:textAlignment w:val="auto"/>
              <w:rPr>
                <w:rFonts w:ascii="Times New Roman" w:hAnsi="Times New Roman" w:eastAsia="宋体" w:cs="Times New Roman"/>
                <w:snapToGrid/>
                <w:color w:val="000000"/>
                <w:sz w:val="24"/>
                <w:szCs w:val="24"/>
                <w:lang w:val="en-US" w:eastAsia="zh-CN" w:bidi="ar-SA"/>
              </w:rPr>
            </w:pPr>
            <w:r>
              <w:rPr>
                <w:rFonts w:hint="eastAsia" w:ascii="Times New Roman" w:hAnsi="Times New Roman" w:eastAsia="宋体" w:cs="Times New Roman"/>
                <w:snapToGrid/>
                <w:sz w:val="24"/>
                <w:szCs w:val="24"/>
                <w:lang w:eastAsia="zh-CN"/>
              </w:rPr>
              <w:t>付款方式：合同签订并生效，采购人收到成交供应商开具的发票后 10个工作日内，支付合同总金额的</w:t>
            </w:r>
            <w:r>
              <w:rPr>
                <w:rFonts w:hint="eastAsia" w:ascii="Times New Roman" w:hAnsi="Times New Roman" w:eastAsia="宋体" w:cs="Times New Roman"/>
                <w:snapToGrid/>
                <w:sz w:val="24"/>
                <w:szCs w:val="24"/>
                <w:lang w:val="en-US" w:eastAsia="zh-CN"/>
              </w:rPr>
              <w:t>7</w:t>
            </w:r>
            <w:r>
              <w:rPr>
                <w:rFonts w:hint="eastAsia" w:ascii="Times New Roman" w:hAnsi="Times New Roman" w:eastAsia="宋体" w:cs="Times New Roman"/>
                <w:snapToGrid/>
                <w:sz w:val="24"/>
                <w:szCs w:val="24"/>
                <w:lang w:eastAsia="zh-CN"/>
              </w:rPr>
              <w:t>0.00%。服务验收合格，采购人收到成交供应商开具的发票后 10个工作日内，支付合同总金额的</w:t>
            </w:r>
            <w:r>
              <w:rPr>
                <w:rFonts w:hint="eastAsia" w:ascii="Times New Roman" w:hAnsi="Times New Roman" w:eastAsia="宋体" w:cs="Times New Roman"/>
                <w:snapToGrid/>
                <w:sz w:val="24"/>
                <w:szCs w:val="24"/>
                <w:lang w:val="en-US" w:eastAsia="zh-CN"/>
              </w:rPr>
              <w:t>3</w:t>
            </w:r>
            <w:r>
              <w:rPr>
                <w:rFonts w:hint="eastAsia" w:ascii="Times New Roman" w:hAnsi="Times New Roman" w:eastAsia="宋体" w:cs="Times New Roman"/>
                <w:snapToGrid/>
                <w:sz w:val="24"/>
                <w:szCs w:val="24"/>
                <w:lang w:eastAsia="zh-CN"/>
              </w:rPr>
              <w:t>0.00%。</w:t>
            </w:r>
          </w:p>
        </w:tc>
      </w:tr>
      <w:tr w14:paraId="622F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70" w:hRule="atLeast"/>
        </w:trPr>
        <w:tc>
          <w:tcPr>
            <w:tcW w:w="425" w:type="pct"/>
            <w:vMerge w:val="continue"/>
            <w:vAlign w:val="center"/>
          </w:tcPr>
          <w:p w14:paraId="5355D734">
            <w:pPr>
              <w:kinsoku/>
              <w:autoSpaceDE/>
              <w:autoSpaceDN/>
              <w:adjustRightInd/>
              <w:snapToGrid/>
              <w:textAlignment w:val="auto"/>
              <w:rPr>
                <w:rFonts w:ascii="Times New Roman" w:hAnsi="Times New Roman" w:eastAsia="宋体" w:cs="Times New Roman"/>
                <w:snapToGrid/>
                <w:sz w:val="24"/>
                <w:szCs w:val="24"/>
                <w:lang w:eastAsia="zh-CN"/>
              </w:rPr>
            </w:pPr>
          </w:p>
        </w:tc>
        <w:tc>
          <w:tcPr>
            <w:tcW w:w="757" w:type="pct"/>
            <w:vMerge w:val="continue"/>
            <w:vAlign w:val="center"/>
          </w:tcPr>
          <w:p w14:paraId="22CD8F72">
            <w:pPr>
              <w:kinsoku/>
              <w:autoSpaceDE/>
              <w:autoSpaceDN/>
              <w:adjustRightInd/>
              <w:snapToGrid/>
              <w:textAlignment w:val="auto"/>
              <w:rPr>
                <w:rFonts w:ascii="Times New Roman" w:hAnsi="Times New Roman" w:eastAsia="宋体" w:cs="Times New Roman"/>
                <w:snapToGrid/>
                <w:sz w:val="24"/>
                <w:szCs w:val="24"/>
                <w:lang w:eastAsia="zh-CN"/>
              </w:rPr>
            </w:pPr>
          </w:p>
        </w:tc>
        <w:tc>
          <w:tcPr>
            <w:tcW w:w="3816" w:type="pct"/>
            <w:shd w:val="clear" w:color="auto" w:fill="auto"/>
            <w:vAlign w:val="center"/>
          </w:tcPr>
          <w:p w14:paraId="2E6654AC">
            <w:pPr>
              <w:kinsoku/>
              <w:autoSpaceDE/>
              <w:autoSpaceDN/>
              <w:adjustRightInd/>
              <w:snapToGrid/>
              <w:textAlignment w:val="auto"/>
              <w:rPr>
                <w:rFonts w:ascii="Times New Roman" w:hAnsi="Times New Roman" w:eastAsia="宋体" w:cs="Times New Roman"/>
                <w:snapToGrid/>
                <w:color w:val="000000"/>
                <w:sz w:val="24"/>
                <w:szCs w:val="24"/>
                <w:lang w:val="en-US" w:eastAsia="zh-CN" w:bidi="ar-SA"/>
              </w:rPr>
            </w:pPr>
            <w:r>
              <w:rPr>
                <w:rFonts w:hint="eastAsia" w:ascii="Times New Roman" w:hAnsi="Times New Roman" w:eastAsia="宋体" w:cs="Times New Roman"/>
                <w:snapToGrid/>
                <w:sz w:val="24"/>
                <w:szCs w:val="24"/>
                <w:lang w:eastAsia="zh-CN"/>
              </w:rPr>
              <w:t>服务验收：由采购人自行组织内部验收。以符合合同约定的服务内容要求为验收通过标准；验收通过后甲方应向乙方出具书面验收意见。因财政资金支付时间实际情况，采购人将于服务期限截止日之前提前进行验收、付款。付款后，成交供应商应继续按合同提供服务。如若成交供应商未按合同继续提供服务，须按合同金额的5%向采购人作出赔偿。</w:t>
            </w:r>
          </w:p>
        </w:tc>
      </w:tr>
    </w:tbl>
    <w:p w14:paraId="4442EF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144FD"/>
    <w:rsid w:val="03860930"/>
    <w:rsid w:val="183144FD"/>
    <w:rsid w:val="7DCE6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1474</Words>
  <Characters>1532</Characters>
  <Lines>0</Lines>
  <Paragraphs>0</Paragraphs>
  <TotalTime>1</TotalTime>
  <ScaleCrop>false</ScaleCrop>
  <LinksUpToDate>false</LinksUpToDate>
  <CharactersWithSpaces>1538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2026-03-09T08:05:00Z</dcterms:created>
  <dc:creator>aVc</dc:creator>
  <cp:lastModifiedBy>aVc</cp:lastModifiedBy>
  <dcterms:modified xsi:type="dcterms:W3CDTF">2026-04-13T07:53:18Z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9B827CAB102C42D8B6CDBFFCE8DD593B_11</vt:lpwstr>
  </property>
  <property fmtid="{D5CDD505-2E9C-101B-9397-08002B2CF9AE}" pid="4" name="KSOTemplateDocerSaveRecord">
    <vt:lpwstr>eyJoZGlkIjoiMDRmZDRmZTUzMDJiNDYzMmYzOGE2MDQ2NzUzZDJhYmEiLCJ1c2VySWQiOiI0NTk4Nzg4NDQifQ==</vt:lpwstr>
  </property>
</Properties>
</file>