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59B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27007F2C">
      <w:pPr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bookmarkStart w:id="1" w:name="_GoBack"/>
      <w:bookmarkEnd w:id="1"/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  <w:t>“成都发展改革”政务新媒体内容信息制作服务（2026年度）</w:t>
      </w:r>
      <w:r>
        <w:rPr>
          <w:rFonts w:ascii="Times New Roman" w:hAnsi="Times New Roman" w:eastAsia="方正小标宋简体" w:cs="Times New Roman"/>
          <w:spacing w:val="-6"/>
          <w:sz w:val="44"/>
          <w:szCs w:val="44"/>
          <w:lang w:eastAsia="zh-CN"/>
        </w:rPr>
        <w:t>询价要素</w:t>
      </w:r>
    </w:p>
    <w:p w14:paraId="26C197C6">
      <w:pPr>
        <w:spacing w:line="581" w:lineRule="exact"/>
        <w:ind w:firstLine="660" w:firstLineChars="200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一、项目名称：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“成都发展改革”政务新媒体内容信息制作服务（2026年度）</w:t>
      </w:r>
    </w:p>
    <w:p w14:paraId="4E30BEF1">
      <w:pPr>
        <w:pStyle w:val="2"/>
        <w:spacing w:after="120" w:afterLines="50" w:line="590" w:lineRule="exact"/>
        <w:ind w:firstLine="656" w:firstLineChars="200"/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</w:rPr>
        <w:t>二、采购需求</w:t>
      </w:r>
    </w:p>
    <w:tbl>
      <w:tblPr>
        <w:tblStyle w:val="3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757"/>
        <w:gridCol w:w="1349"/>
        <w:gridCol w:w="6406"/>
      </w:tblGrid>
      <w:tr w14:paraId="4D10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5" w:type="pct"/>
            <w:vAlign w:val="center"/>
          </w:tcPr>
          <w:p w14:paraId="1A092C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92" w:type="pct"/>
            <w:vAlign w:val="center"/>
          </w:tcPr>
          <w:p w14:paraId="6D047D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询价要素</w:t>
            </w:r>
          </w:p>
        </w:tc>
        <w:tc>
          <w:tcPr>
            <w:tcW w:w="3762" w:type="pct"/>
            <w:vAlign w:val="center"/>
          </w:tcPr>
          <w:p w14:paraId="70E99B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采购需求</w:t>
            </w:r>
          </w:p>
        </w:tc>
      </w:tr>
      <w:tr w14:paraId="4D25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vAlign w:val="center"/>
          </w:tcPr>
          <w:p w14:paraId="7F3098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2" w:type="pct"/>
            <w:vAlign w:val="center"/>
          </w:tcPr>
          <w:p w14:paraId="064F0D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采购目标与用途</w:t>
            </w:r>
          </w:p>
        </w:tc>
        <w:tc>
          <w:tcPr>
            <w:tcW w:w="3762" w:type="pct"/>
            <w:vAlign w:val="center"/>
          </w:tcPr>
          <w:p w14:paraId="7ADE860B">
            <w:pPr>
              <w:spacing w:line="264" w:lineRule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本次采购主要为落实《国务院办公厅秘书局关于印发政府网站与政务新媒体检查指标、监管工作年度考核指标的通知》、《国务院办公厅关于推进政务新媒体健康有序发展的意见》（国办发〔2018〕123号）要求，结合互联网时代发展改革新闻宣传和舆论引导工作需要，提供专业的政务新媒体信息制作服务，包括“成都发展改革”政务微信、政务微博、今日头条、澎湃问政、网易号、知乎号、抖音号等新媒体平台的信息制作服务，持续优化信息服务，加强宣传运营，以满足新形势下公众对政务新媒体的新需求，持续提升市发展改革委政务新媒体知晓度和覆盖面。</w:t>
            </w:r>
          </w:p>
        </w:tc>
      </w:tr>
      <w:tr w14:paraId="300B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5" w:type="pct"/>
            <w:vAlign w:val="center"/>
          </w:tcPr>
          <w:p w14:paraId="30556E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2" w:type="pct"/>
            <w:vAlign w:val="center"/>
          </w:tcPr>
          <w:p w14:paraId="748871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标的物/服务名称</w:t>
            </w:r>
          </w:p>
        </w:tc>
        <w:tc>
          <w:tcPr>
            <w:tcW w:w="3762" w:type="pct"/>
            <w:vAlign w:val="center"/>
          </w:tcPr>
          <w:p w14:paraId="4934F48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“成都发展改革”政务新媒体内容信息制作服务（2026年度）</w:t>
            </w:r>
          </w:p>
        </w:tc>
      </w:tr>
      <w:tr w14:paraId="0A64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5" w:type="pct"/>
            <w:vMerge w:val="restart"/>
            <w:vAlign w:val="center"/>
          </w:tcPr>
          <w:p w14:paraId="3641F7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2" w:type="pct"/>
            <w:vMerge w:val="restart"/>
            <w:vAlign w:val="center"/>
          </w:tcPr>
          <w:p w14:paraId="1BCBD3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功能性能/服务要求</w:t>
            </w:r>
          </w:p>
        </w:tc>
        <w:tc>
          <w:tcPr>
            <w:tcW w:w="3762" w:type="pct"/>
            <w:vMerge w:val="restart"/>
            <w:vAlign w:val="center"/>
          </w:tcPr>
          <w:p w14:paraId="3DEC6E1C">
            <w:pPr>
              <w:spacing w:line="264" w:lineRule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一、运维内容</w:t>
            </w:r>
          </w:p>
          <w:p w14:paraId="62F80FEB">
            <w:pPr>
              <w:spacing w:line="264" w:lineRule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1．做好日常信息制作服务，包括图文编辑排版、视频嵌入、动图制作、头图设计等。</w:t>
            </w:r>
          </w:p>
          <w:p w14:paraId="61879EA8">
            <w:pPr>
              <w:spacing w:line="264" w:lineRule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2．充分熟悉并利用订阅号的各项功能，挖掘微信特性，定制有创意、新颖、互动性强的个性化功能，实现多样化信息制作。</w:t>
            </w:r>
          </w:p>
          <w:p w14:paraId="2ADE8FA3">
            <w:pPr>
              <w:spacing w:line="264" w:lineRule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3．配合相关线上线下活动执行，活动要制定项目方案并提前提交至甲方征求意见。活动完成后，按要求对活动资料进行整理、归档，并按甲方要求进行资料上报。</w:t>
            </w:r>
          </w:p>
          <w:p w14:paraId="1F1B724F">
            <w:pPr>
              <w:spacing w:line="264" w:lineRule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4．熟练掌握新媒体运营平台数据分析工具，对新媒体访问情况进行数据分析，定期提交数据分析报告。</w:t>
            </w:r>
          </w:p>
          <w:p w14:paraId="0BDE82C7">
            <w:pPr>
              <w:spacing w:line="264" w:lineRule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二、运维服务要求</w:t>
            </w:r>
          </w:p>
          <w:p w14:paraId="171D235F">
            <w:pPr>
              <w:spacing w:line="264" w:lineRule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乙方应保证新媒体信息制作服务项目组不少于2名人员，其中至少1名直接接受甲方管理。甲方直接管理乙方工作人员，对乙方工作人员进行工作委任、管理安排及业绩考核。</w:t>
            </w:r>
          </w:p>
        </w:tc>
      </w:tr>
      <w:tr w14:paraId="2DF3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5" w:type="pct"/>
            <w:vMerge w:val="continue"/>
            <w:vAlign w:val="center"/>
          </w:tcPr>
          <w:p w14:paraId="4AE73DA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92" w:type="pct"/>
            <w:vMerge w:val="continue"/>
            <w:vAlign w:val="center"/>
          </w:tcPr>
          <w:p w14:paraId="243441E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3762" w:type="pct"/>
            <w:vMerge w:val="continue"/>
            <w:vAlign w:val="center"/>
          </w:tcPr>
          <w:p w14:paraId="00BE113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</w:tr>
      <w:tr w14:paraId="793E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5" w:type="pct"/>
            <w:vAlign w:val="center"/>
          </w:tcPr>
          <w:p w14:paraId="6D6FF5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2" w:type="pct"/>
            <w:vAlign w:val="center"/>
          </w:tcPr>
          <w:p w14:paraId="7B1756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数量/服务期限</w:t>
            </w:r>
          </w:p>
        </w:tc>
        <w:tc>
          <w:tcPr>
            <w:tcW w:w="3762" w:type="pct"/>
            <w:vAlign w:val="center"/>
          </w:tcPr>
          <w:p w14:paraId="3B97B183">
            <w:pPr>
              <w:spacing w:line="264" w:lineRule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一、日常信息制作数量要求</w:t>
            </w:r>
          </w:p>
          <w:p w14:paraId="7B066180">
            <w:pPr>
              <w:spacing w:line="264" w:lineRule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政务微信每个工作日推送1-3条，周末和节假日根据工作需要推送信息，全年推送图文信息不少于750条，按需完成菜单栏优化，粉丝数持续增长。政务微博与政务微信联动发布信息，在此基础上，加强与市发展改革委网站重要信息的联动发布，并转发成都发布、成都日报等媒体有关市委市政府重点工作信息，每个工作日发布6-10条，周末和节假日根据工作需要推送信息，全年发布信息不少于1500条，粉丝数持续增长。今日头条号每个工作日发布2-3条，全年发布信息不少于750条。微信视频号全年发布短视频不少于14条。抖音号平均每月发布2条。知乎号、澎湃号、网易号与政务微信自动同步数据更新。</w:t>
            </w:r>
          </w:p>
          <w:p w14:paraId="5D0371E2">
            <w:pPr>
              <w:spacing w:line="264" w:lineRule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二、</w:t>
            </w:r>
            <w:bookmarkStart w:id="0" w:name="_Toc207816154"/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互动活动策划及奖品购买</w:t>
            </w:r>
            <w:bookmarkEnd w:id="0"/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要求</w:t>
            </w:r>
          </w:p>
          <w:p w14:paraId="03FD2766">
            <w:pPr>
              <w:spacing w:line="264" w:lineRule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全年开展微信有奖活动不少于1次，微博有奖活动不少于1次。根据有奖调查、答题等互动活动开展需要，购买活动奖品及第三方平台服务。</w:t>
            </w:r>
          </w:p>
          <w:p w14:paraId="7A6DA9F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三、服务期限</w:t>
            </w:r>
          </w:p>
          <w:p w14:paraId="6069D80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自合同签订之日至202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年12月31日。</w:t>
            </w:r>
          </w:p>
        </w:tc>
      </w:tr>
      <w:tr w14:paraId="7E85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5" w:type="pct"/>
            <w:vMerge w:val="restart"/>
            <w:vAlign w:val="center"/>
          </w:tcPr>
          <w:p w14:paraId="2EFEEE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2" w:type="pct"/>
            <w:vMerge w:val="restart"/>
            <w:vAlign w:val="center"/>
          </w:tcPr>
          <w:p w14:paraId="0518B3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商务要求</w:t>
            </w:r>
          </w:p>
        </w:tc>
        <w:tc>
          <w:tcPr>
            <w:tcW w:w="3762" w:type="pct"/>
            <w:shd w:val="clear"/>
            <w:vAlign w:val="center"/>
          </w:tcPr>
          <w:p w14:paraId="0270A30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付款方式：合同签订并生效，采购人收到成交供应商开具的发票后 10个工作日内，支付合同总金额的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0.00%。服务验收合格，采购人收到成交供应商开具的发票后 10个工作日内，支付合同总金额的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0.00%。</w:t>
            </w:r>
          </w:p>
        </w:tc>
      </w:tr>
      <w:tr w14:paraId="622F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5" w:type="pct"/>
            <w:vMerge w:val="continue"/>
            <w:vAlign w:val="center"/>
          </w:tcPr>
          <w:p w14:paraId="5355D73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92" w:type="pct"/>
            <w:vMerge w:val="continue"/>
            <w:vAlign w:val="center"/>
          </w:tcPr>
          <w:p w14:paraId="22CD8F7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3762" w:type="pct"/>
            <w:shd w:val="clear"/>
            <w:vAlign w:val="center"/>
          </w:tcPr>
          <w:p w14:paraId="2E6654A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服务验收：由采购人自行组织内部验收。以符合合同约定的服务内容要求为验收通过标准；验收通过后甲方应向乙方出具书面验收意见。因财政资金支付时间实际情况，采购人将于服务期限截止日之前提前进行验收、付款。付款后，成交供应商应继续按合同提供服务。如若成交供应商未按合同继续提供服务，须按合同金额的5%向采购人作出赔偿。</w:t>
            </w:r>
          </w:p>
        </w:tc>
      </w:tr>
    </w:tbl>
    <w:p w14:paraId="308823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71277"/>
    <w:rsid w:val="5207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2026-03-03T03:37:00Z</dcterms:created>
  <dc:creator>aVc</dc:creator>
  <cp:lastModifiedBy>aVc</cp:lastModifiedBy>
  <dcterms:modified xsi:type="dcterms:W3CDTF">2026-03-03T03:40:49Z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E4BE67FA2D274BCF8C1B1451235EC20A_11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