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9B0B">
      <w:pPr>
        <w:rPr>
          <w:rFonts w:hint="eastAsia"/>
          <w:lang w:val="en-US" w:eastAsia="zh-CN"/>
        </w:rPr>
      </w:pPr>
      <w:r>
        <w:rPr>
          <w:rFonts w:hint="eastAsia"/>
          <w:lang w:val="en-US" w:eastAsia="zh-CN"/>
        </w:rPr>
        <w:t>附件1</w:t>
      </w:r>
    </w:p>
    <w:p w14:paraId="27007F2C">
      <w:pPr>
        <w:jc w:val="center"/>
        <w:rPr>
          <w:rFonts w:ascii="Times New Roman" w:hAnsi="Times New Roman" w:eastAsia="方正小标宋简体" w:cs="Times New Roman"/>
          <w:spacing w:val="-6"/>
          <w:sz w:val="44"/>
          <w:szCs w:val="44"/>
          <w:lang w:eastAsia="zh-CN"/>
        </w:rPr>
      </w:pPr>
      <w:bookmarkStart w:id="0" w:name="_GoBack"/>
      <w:bookmarkEnd w:id="0"/>
      <w:r>
        <w:rPr>
          <w:rFonts w:hint="eastAsia" w:ascii="Times New Roman" w:hAnsi="Times New Roman" w:eastAsia="方正小标宋简体" w:cs="Times New Roman"/>
          <w:spacing w:val="-6"/>
          <w:sz w:val="44"/>
          <w:szCs w:val="44"/>
          <w:lang w:eastAsia="zh-CN"/>
        </w:rPr>
        <w:t>“成都发展改革”政务新媒体可视化设计服务（2026年度）</w:t>
      </w:r>
      <w:r>
        <w:rPr>
          <w:rFonts w:ascii="Times New Roman" w:hAnsi="Times New Roman" w:eastAsia="方正小标宋简体" w:cs="Times New Roman"/>
          <w:spacing w:val="-6"/>
          <w:sz w:val="44"/>
          <w:szCs w:val="44"/>
          <w:lang w:eastAsia="zh-CN"/>
        </w:rPr>
        <w:t>询价要素</w:t>
      </w:r>
    </w:p>
    <w:p w14:paraId="26C197C6">
      <w:pPr>
        <w:spacing w:line="581" w:lineRule="exact"/>
        <w:ind w:firstLine="660" w:firstLineChars="200"/>
        <w:rPr>
          <w:rFonts w:ascii="Times New Roman" w:hAnsi="Times New Roman" w:eastAsia="仿宋_GB2312" w:cs="Times New Roman"/>
          <w:spacing w:val="5"/>
          <w:sz w:val="32"/>
          <w:szCs w:val="32"/>
          <w:lang w:eastAsia="zh-CN"/>
        </w:rPr>
      </w:pPr>
      <w:r>
        <w:rPr>
          <w:rFonts w:ascii="Times New Roman" w:hAnsi="Times New Roman" w:eastAsia="仿宋_GB2312" w:cs="Times New Roman"/>
          <w:spacing w:val="5"/>
          <w:sz w:val="32"/>
          <w:szCs w:val="32"/>
          <w:lang w:eastAsia="zh-CN"/>
        </w:rPr>
        <w:t>一、项目名称：</w:t>
      </w:r>
      <w:r>
        <w:rPr>
          <w:rFonts w:hint="eastAsia" w:ascii="Times New Roman" w:hAnsi="Times New Roman" w:eastAsia="仿宋_GB2312" w:cs="Times New Roman"/>
          <w:spacing w:val="5"/>
          <w:sz w:val="32"/>
          <w:szCs w:val="32"/>
          <w:lang w:eastAsia="zh-CN"/>
        </w:rPr>
        <w:t>“成都发展改革”政务新媒体可视化设计服务（2026年度）</w:t>
      </w:r>
    </w:p>
    <w:p w14:paraId="4E30BEF1">
      <w:pPr>
        <w:pStyle w:val="2"/>
        <w:spacing w:after="120" w:afterLines="50" w:line="590" w:lineRule="exact"/>
        <w:ind w:firstLine="656" w:firstLineChars="200"/>
        <w:rPr>
          <w:rFonts w:ascii="Times New Roman" w:hAnsi="Times New Roman" w:eastAsia="仿宋_GB2312" w:cs="Times New Roman"/>
          <w:spacing w:val="4"/>
          <w:sz w:val="32"/>
          <w:szCs w:val="32"/>
          <w:lang w:eastAsia="zh-CN"/>
        </w:rPr>
      </w:pPr>
      <w:r>
        <w:rPr>
          <w:rFonts w:ascii="Times New Roman" w:hAnsi="Times New Roman" w:eastAsia="仿宋_GB2312" w:cs="Times New Roman"/>
          <w:spacing w:val="4"/>
          <w:sz w:val="32"/>
          <w:szCs w:val="32"/>
        </w:rPr>
        <w:t>二、采购需求</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758"/>
        <w:gridCol w:w="1349"/>
        <w:gridCol w:w="6405"/>
      </w:tblGrid>
      <w:tr w14:paraId="4D10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75" w:hRule="atLeast"/>
        </w:trPr>
        <w:tc>
          <w:tcPr>
            <w:tcW w:w="445" w:type="pct"/>
            <w:vAlign w:val="center"/>
          </w:tcPr>
          <w:p w14:paraId="1A092CB3">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序号</w:t>
            </w:r>
          </w:p>
        </w:tc>
        <w:tc>
          <w:tcPr>
            <w:tcW w:w="792" w:type="pct"/>
            <w:vAlign w:val="center"/>
          </w:tcPr>
          <w:p w14:paraId="6D047DDB">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询价要素</w:t>
            </w:r>
          </w:p>
        </w:tc>
        <w:tc>
          <w:tcPr>
            <w:tcW w:w="3761" w:type="pct"/>
            <w:vAlign w:val="center"/>
          </w:tcPr>
          <w:p w14:paraId="70E99BEF">
            <w:pPr>
              <w:kinsoku/>
              <w:autoSpaceDE/>
              <w:autoSpaceDN/>
              <w:adjustRightInd/>
              <w:snapToGrid/>
              <w:jc w:val="center"/>
              <w:textAlignment w:val="auto"/>
              <w:rPr>
                <w:rFonts w:ascii="Times New Roman" w:hAnsi="Times New Roman" w:eastAsia="黑体" w:cs="Times New Roman"/>
                <w:snapToGrid/>
                <w:sz w:val="28"/>
                <w:szCs w:val="28"/>
                <w:lang w:eastAsia="zh-CN"/>
              </w:rPr>
            </w:pPr>
            <w:r>
              <w:rPr>
                <w:rFonts w:ascii="Times New Roman" w:hAnsi="Times New Roman" w:eastAsia="黑体" w:cs="Times New Roman"/>
                <w:snapToGrid/>
                <w:sz w:val="28"/>
                <w:szCs w:val="28"/>
                <w:lang w:eastAsia="zh-CN"/>
              </w:rPr>
              <w:t>采购需求</w:t>
            </w:r>
          </w:p>
        </w:tc>
      </w:tr>
      <w:tr w14:paraId="4D25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855" w:hRule="atLeast"/>
        </w:trPr>
        <w:tc>
          <w:tcPr>
            <w:tcW w:w="445" w:type="pct"/>
            <w:vAlign w:val="center"/>
          </w:tcPr>
          <w:p w14:paraId="7F309848">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1</w:t>
            </w:r>
          </w:p>
        </w:tc>
        <w:tc>
          <w:tcPr>
            <w:tcW w:w="792" w:type="pct"/>
            <w:vAlign w:val="center"/>
          </w:tcPr>
          <w:p w14:paraId="064F0DF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采购目标与用途</w:t>
            </w:r>
          </w:p>
        </w:tc>
        <w:tc>
          <w:tcPr>
            <w:tcW w:w="3761" w:type="pct"/>
            <w:vAlign w:val="center"/>
          </w:tcPr>
          <w:p w14:paraId="2770A943">
            <w:pPr>
              <w:spacing w:line="264" w:lineRule="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本次采购主要为落实《国务院办公厅关于推进政务新媒体健康有序发展的意见》（国办发〔2018〕123号）要求，围绕市发展改革委重点工作和热点信息等宣传主题，提供专业的政务新媒体可视化设计服务，包括设计制作信息图解、动态及静态海报等可视化设计宣传产品，通过“成都发展改革”政务微信、政务微博、今日头条、澎湃问政、网易号、知乎号等新媒体平台开展易读懂、易传播的可视化宣传推广，持续提升“成都发展改革”公众关注度和认同度，提升传播影响力。</w:t>
            </w:r>
          </w:p>
        </w:tc>
      </w:tr>
      <w:tr w14:paraId="300B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445" w:type="pct"/>
            <w:vAlign w:val="center"/>
          </w:tcPr>
          <w:p w14:paraId="30556EEE">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92" w:type="pct"/>
            <w:vAlign w:val="center"/>
          </w:tcPr>
          <w:p w14:paraId="748871A5">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标的物/服务名称</w:t>
            </w:r>
          </w:p>
        </w:tc>
        <w:tc>
          <w:tcPr>
            <w:tcW w:w="3761" w:type="pct"/>
            <w:vAlign w:val="center"/>
          </w:tcPr>
          <w:p w14:paraId="4934F485">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“成都发展改革”政务新媒体可视化设计服务（2026年度）</w:t>
            </w:r>
          </w:p>
        </w:tc>
      </w:tr>
      <w:tr w14:paraId="0A64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45" w:type="pct"/>
            <w:vMerge w:val="restart"/>
            <w:vAlign w:val="center"/>
          </w:tcPr>
          <w:p w14:paraId="3641F7CA">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2</w:t>
            </w:r>
          </w:p>
        </w:tc>
        <w:tc>
          <w:tcPr>
            <w:tcW w:w="792" w:type="pct"/>
            <w:vMerge w:val="restart"/>
            <w:vAlign w:val="center"/>
          </w:tcPr>
          <w:p w14:paraId="1BCBD3A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功能性能/服务要求</w:t>
            </w:r>
          </w:p>
        </w:tc>
        <w:tc>
          <w:tcPr>
            <w:tcW w:w="3761" w:type="pct"/>
            <w:vMerge w:val="restart"/>
            <w:vAlign w:val="center"/>
          </w:tcPr>
          <w:p w14:paraId="4C695627">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一、信息图解制作</w:t>
            </w:r>
          </w:p>
          <w:p w14:paraId="3EA2B93C">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通过对成都发展改革相关重大规划、重大改革、重要政策及解读等进行文字内容梳理策划，设计制作有利于移动端传播的信息图解，创新原创内容服务形式，深化政策解读效果和传播水平，打造图说成都发展改革品牌栏目，提升发展改革委政策解读效果和传播水平。</w:t>
            </w:r>
          </w:p>
          <w:p w14:paraId="3CCE463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二、海报制作</w:t>
            </w:r>
          </w:p>
          <w:p w14:paraId="5177E6A9">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围绕成都发展改革热点、重大活动等，设计制作宣传海报，创新开展新媒体宣传推广服务，提升用户视觉体验与满意度，扩大网络传播效应。海报必须为原创，须创造设计展现一定的发改特色，优化视觉风格，精细化展现形式，确保海报最终呈现精准、高质。</w:t>
            </w:r>
          </w:p>
          <w:p w14:paraId="74E4A2B3">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三、其他新媒体视觉类设计</w:t>
            </w:r>
          </w:p>
          <w:p w14:paraId="206DC643">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根据“成都发展改革”政务新媒体矩阵发展推进需要，完成新媒体视觉类设计工作：制作适用于微信、微博平台的微信插图（封面图、内部小图、专栏图等）、H5等视觉设计。微信插图和H5等视觉设计根据日常推文需求完成。</w:t>
            </w:r>
          </w:p>
        </w:tc>
      </w:tr>
      <w:tr w14:paraId="2DF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45" w:type="pct"/>
            <w:vMerge w:val="continue"/>
            <w:vAlign w:val="center"/>
          </w:tcPr>
          <w:p w14:paraId="4AE73DA2">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vAlign w:val="center"/>
          </w:tcPr>
          <w:p w14:paraId="243441E6">
            <w:pPr>
              <w:kinsoku/>
              <w:autoSpaceDE/>
              <w:autoSpaceDN/>
              <w:adjustRightInd/>
              <w:snapToGrid/>
              <w:textAlignment w:val="auto"/>
              <w:rPr>
                <w:rFonts w:ascii="Times New Roman" w:hAnsi="Times New Roman" w:eastAsia="宋体" w:cs="Times New Roman"/>
                <w:snapToGrid/>
                <w:sz w:val="24"/>
                <w:szCs w:val="24"/>
                <w:lang w:eastAsia="zh-CN"/>
              </w:rPr>
            </w:pPr>
          </w:p>
        </w:tc>
        <w:tc>
          <w:tcPr>
            <w:tcW w:w="3761" w:type="pct"/>
            <w:vMerge w:val="continue"/>
            <w:vAlign w:val="center"/>
          </w:tcPr>
          <w:p w14:paraId="00BE1139">
            <w:pPr>
              <w:kinsoku/>
              <w:autoSpaceDE/>
              <w:autoSpaceDN/>
              <w:adjustRightInd/>
              <w:snapToGrid/>
              <w:textAlignment w:val="auto"/>
              <w:rPr>
                <w:rFonts w:ascii="Times New Roman" w:hAnsi="Times New Roman" w:eastAsia="宋体" w:cs="Times New Roman"/>
                <w:snapToGrid/>
                <w:sz w:val="24"/>
                <w:szCs w:val="24"/>
                <w:lang w:eastAsia="zh-CN"/>
              </w:rPr>
            </w:pPr>
          </w:p>
        </w:tc>
      </w:tr>
      <w:tr w14:paraId="793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85" w:hRule="atLeast"/>
        </w:trPr>
        <w:tc>
          <w:tcPr>
            <w:tcW w:w="445" w:type="pct"/>
            <w:vAlign w:val="center"/>
          </w:tcPr>
          <w:p w14:paraId="6D6FF503">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3</w:t>
            </w:r>
          </w:p>
        </w:tc>
        <w:tc>
          <w:tcPr>
            <w:tcW w:w="792" w:type="pct"/>
            <w:vAlign w:val="center"/>
          </w:tcPr>
          <w:p w14:paraId="7B1756B1">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数量/服务期限</w:t>
            </w:r>
          </w:p>
        </w:tc>
        <w:tc>
          <w:tcPr>
            <w:tcW w:w="3761" w:type="pct"/>
            <w:vAlign w:val="center"/>
          </w:tcPr>
          <w:p w14:paraId="5731B7B9">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一、数量要求</w:t>
            </w:r>
          </w:p>
          <w:p w14:paraId="4CB97209">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根据采购方年度工作中提出的具体需求进行匹配详细的设计制作方式，原则上全年设计制作信息图解16-20期，静态海报不少于50张，动态海报不少于10张，其他视觉设计根据宣传需求开展。各类设计产品实际制作数量以采购方实际需求为准，按照实际制作数量核算服务费用。</w:t>
            </w:r>
          </w:p>
          <w:p w14:paraId="7A6DA9F0">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二、服务期限</w:t>
            </w:r>
          </w:p>
          <w:p w14:paraId="6069D806">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自合同签订之日至202</w:t>
            </w:r>
            <w:r>
              <w:rPr>
                <w:rFonts w:ascii="Times New Roman" w:hAnsi="Times New Roman" w:eastAsia="宋体" w:cs="Times New Roman"/>
                <w:snapToGrid/>
                <w:sz w:val="24"/>
                <w:szCs w:val="24"/>
                <w:lang w:eastAsia="zh-CN"/>
              </w:rPr>
              <w:t>6</w:t>
            </w:r>
            <w:r>
              <w:rPr>
                <w:rFonts w:hint="eastAsia" w:ascii="Times New Roman" w:hAnsi="Times New Roman" w:eastAsia="宋体" w:cs="Times New Roman"/>
                <w:snapToGrid/>
                <w:sz w:val="24"/>
                <w:szCs w:val="24"/>
                <w:lang w:eastAsia="zh-CN"/>
              </w:rPr>
              <w:t>年12月31日。</w:t>
            </w:r>
          </w:p>
        </w:tc>
      </w:tr>
      <w:tr w14:paraId="7E85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445" w:type="pct"/>
            <w:vMerge w:val="restart"/>
            <w:vAlign w:val="center"/>
          </w:tcPr>
          <w:p w14:paraId="2EFEEEB7">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4</w:t>
            </w:r>
          </w:p>
        </w:tc>
        <w:tc>
          <w:tcPr>
            <w:tcW w:w="792" w:type="pct"/>
            <w:vMerge w:val="restart"/>
            <w:vAlign w:val="center"/>
          </w:tcPr>
          <w:p w14:paraId="0518B342">
            <w:pPr>
              <w:kinsoku/>
              <w:autoSpaceDE/>
              <w:autoSpaceDN/>
              <w:adjustRightInd/>
              <w:snapToGrid/>
              <w:jc w:val="center"/>
              <w:textAlignment w:val="auto"/>
              <w:rPr>
                <w:rFonts w:ascii="Times New Roman" w:hAnsi="Times New Roman" w:eastAsia="宋体" w:cs="Times New Roman"/>
                <w:snapToGrid/>
                <w:sz w:val="24"/>
                <w:szCs w:val="24"/>
                <w:lang w:eastAsia="zh-CN"/>
              </w:rPr>
            </w:pPr>
            <w:r>
              <w:rPr>
                <w:rFonts w:ascii="Times New Roman" w:hAnsi="Times New Roman" w:eastAsia="宋体" w:cs="Times New Roman"/>
                <w:snapToGrid/>
                <w:sz w:val="24"/>
                <w:szCs w:val="24"/>
                <w:lang w:eastAsia="zh-CN"/>
              </w:rPr>
              <w:t>商务要求</w:t>
            </w:r>
          </w:p>
        </w:tc>
        <w:tc>
          <w:tcPr>
            <w:tcW w:w="3761" w:type="pct"/>
            <w:vAlign w:val="center"/>
          </w:tcPr>
          <w:p w14:paraId="0270A30D">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付款方式：合同签订并生效，采购人收到成交供应商开具的发票后 10个工作日内，支付合同总金额的</w:t>
            </w:r>
            <w:r>
              <w:rPr>
                <w:rFonts w:ascii="Times New Roman" w:hAnsi="Times New Roman" w:eastAsia="宋体" w:cs="Times New Roman"/>
                <w:snapToGrid/>
                <w:sz w:val="24"/>
                <w:szCs w:val="24"/>
                <w:lang w:eastAsia="zh-CN"/>
              </w:rPr>
              <w:t>7</w:t>
            </w:r>
            <w:r>
              <w:rPr>
                <w:rFonts w:hint="eastAsia" w:ascii="Times New Roman" w:hAnsi="Times New Roman" w:eastAsia="宋体" w:cs="Times New Roman"/>
                <w:snapToGrid/>
                <w:sz w:val="24"/>
                <w:szCs w:val="24"/>
                <w:lang w:eastAsia="zh-CN"/>
              </w:rPr>
              <w:t>0.00%。服务验收合格，采购人收到成交供应商开具的发票后 10个工作日内，支付合同总金额的30.00%。</w:t>
            </w:r>
          </w:p>
        </w:tc>
      </w:tr>
      <w:tr w14:paraId="622F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570" w:hRule="atLeast"/>
        </w:trPr>
        <w:tc>
          <w:tcPr>
            <w:tcW w:w="445" w:type="pct"/>
            <w:vMerge w:val="continue"/>
            <w:vAlign w:val="center"/>
          </w:tcPr>
          <w:p w14:paraId="5355D734">
            <w:pPr>
              <w:kinsoku/>
              <w:autoSpaceDE/>
              <w:autoSpaceDN/>
              <w:adjustRightInd/>
              <w:snapToGrid/>
              <w:textAlignment w:val="auto"/>
              <w:rPr>
                <w:rFonts w:ascii="Times New Roman" w:hAnsi="Times New Roman" w:eastAsia="宋体" w:cs="Times New Roman"/>
                <w:snapToGrid/>
                <w:sz w:val="24"/>
                <w:szCs w:val="24"/>
                <w:lang w:eastAsia="zh-CN"/>
              </w:rPr>
            </w:pPr>
          </w:p>
        </w:tc>
        <w:tc>
          <w:tcPr>
            <w:tcW w:w="792" w:type="pct"/>
            <w:vMerge w:val="continue"/>
            <w:vAlign w:val="center"/>
          </w:tcPr>
          <w:p w14:paraId="22CD8F72">
            <w:pPr>
              <w:kinsoku/>
              <w:autoSpaceDE/>
              <w:autoSpaceDN/>
              <w:adjustRightInd/>
              <w:snapToGrid/>
              <w:textAlignment w:val="auto"/>
              <w:rPr>
                <w:rFonts w:ascii="Times New Roman" w:hAnsi="Times New Roman" w:eastAsia="宋体" w:cs="Times New Roman"/>
                <w:snapToGrid/>
                <w:sz w:val="24"/>
                <w:szCs w:val="24"/>
                <w:lang w:eastAsia="zh-CN"/>
              </w:rPr>
            </w:pPr>
          </w:p>
        </w:tc>
        <w:tc>
          <w:tcPr>
            <w:tcW w:w="3761" w:type="pct"/>
            <w:vAlign w:val="center"/>
          </w:tcPr>
          <w:p w14:paraId="2E6654AC">
            <w:pPr>
              <w:kinsoku/>
              <w:autoSpaceDE/>
              <w:autoSpaceDN/>
              <w:adjustRightInd/>
              <w:snapToGrid/>
              <w:textAlignment w:val="auto"/>
              <w:rPr>
                <w:rFonts w:ascii="Times New Roman" w:hAnsi="Times New Roman" w:eastAsia="宋体" w:cs="Times New Roman"/>
                <w:snapToGrid/>
                <w:sz w:val="24"/>
                <w:szCs w:val="24"/>
                <w:lang w:eastAsia="zh-CN"/>
              </w:rPr>
            </w:pPr>
            <w:r>
              <w:rPr>
                <w:rFonts w:hint="eastAsia" w:ascii="Times New Roman" w:hAnsi="Times New Roman" w:eastAsia="宋体" w:cs="Times New Roman"/>
                <w:snapToGrid/>
                <w:sz w:val="24"/>
                <w:szCs w:val="24"/>
                <w:lang w:eastAsia="zh-CN"/>
              </w:rPr>
              <w:t>服务验收：由采购人自行组织内部验收。以符合合同约定的服务内容要求为验收通过标准；验收通过后甲方应向乙方出具书面验收意见。因财政资金支付时间实际情况，采购人将于服务期限截止日之前提前进行验收、付款。付款后，成交供应商应继续按合同提供服务。如若成交供应商未按合同继续提供服务，须按合同金额的5%向采购人作出赔偿。</w:t>
            </w:r>
          </w:p>
        </w:tc>
      </w:tr>
    </w:tbl>
    <w:p w14:paraId="30EAF2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80832"/>
    <w:rsid w:val="4BB8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2026-03-02T16:51:00Z</dcterms:created>
  <dc:creator>aVc</dc:creator>
  <cp:lastModifiedBy>aVc</cp:lastModifiedBy>
  <dcterms:modified xsi:type="dcterms:W3CDTF">2026-03-02T16:55:00Z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43FB9CFB0F6E4780B46E34B27240CAAF_11</vt:lpwstr>
  </property>
  <property fmtid="{D5CDD505-2E9C-101B-9397-08002B2CF9AE}" pid="4" name="KSOTemplateDocerSaveRecord">
    <vt:lpwstr>eyJoZGlkIjoiMDRmZDRmZTUzMDJiNDYzMmYzOGE2MDQ2NzUzZDJhYmEiLCJ1c2VySWQiOiI0NTk4Nzg4NDQifQ==</vt:lpwstr>
  </property>
</Properties>
</file>