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0CC08">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6BFFFB7C">
      <w:pPr>
        <w:spacing w:line="600" w:lineRule="exact"/>
        <w:ind w:firstLine="723" w:firstLineChars="200"/>
        <w:jc w:val="center"/>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市场调查回函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2977"/>
        <w:gridCol w:w="1444"/>
      </w:tblGrid>
      <w:tr w14:paraId="5368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71" w:type="dxa"/>
          </w:tcPr>
          <w:p w14:paraId="565FC72C">
            <w:pPr>
              <w:spacing w:line="600" w:lineRule="exact"/>
              <w:jc w:val="center"/>
            </w:pPr>
            <w:r>
              <w:rPr>
                <w:rFonts w:hint="eastAsia"/>
              </w:rPr>
              <w:t>公司名称</w:t>
            </w:r>
          </w:p>
        </w:tc>
        <w:tc>
          <w:tcPr>
            <w:tcW w:w="7398" w:type="dxa"/>
            <w:gridSpan w:val="3"/>
          </w:tcPr>
          <w:p w14:paraId="3368B807">
            <w:pPr>
              <w:spacing w:line="600" w:lineRule="exact"/>
              <w:jc w:val="center"/>
            </w:pPr>
            <w:r>
              <w:rPr>
                <w:rFonts w:hint="eastAsia"/>
                <w:u w:val="single"/>
              </w:rPr>
              <w:t xml:space="preserve"> </w:t>
            </w:r>
            <w:r>
              <w:rPr>
                <w:u w:val="single"/>
              </w:rPr>
              <w:t xml:space="preserve">         </w:t>
            </w:r>
            <w:r>
              <w:rPr>
                <w:rFonts w:hint="eastAsia"/>
                <w:u w:val="single"/>
              </w:rPr>
              <w:t xml:space="preserve">填写名称 </w:t>
            </w:r>
            <w:r>
              <w:rPr>
                <w:u w:val="single"/>
              </w:rPr>
              <w:t xml:space="preserve">      </w:t>
            </w:r>
            <w:r>
              <w:rPr>
                <w:rFonts w:hint="eastAsia"/>
              </w:rPr>
              <w:t>（加盖公章）</w:t>
            </w:r>
          </w:p>
        </w:tc>
      </w:tr>
      <w:tr w14:paraId="6079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71" w:type="dxa"/>
          </w:tcPr>
          <w:p w14:paraId="754B1C89">
            <w:pPr>
              <w:spacing w:line="600" w:lineRule="exact"/>
              <w:jc w:val="center"/>
            </w:pPr>
            <w:r>
              <w:rPr>
                <w:rFonts w:hint="eastAsia"/>
              </w:rPr>
              <w:t>联系人</w:t>
            </w:r>
          </w:p>
        </w:tc>
        <w:tc>
          <w:tcPr>
            <w:tcW w:w="7398" w:type="dxa"/>
            <w:gridSpan w:val="3"/>
          </w:tcPr>
          <w:p w14:paraId="5D92B6BE">
            <w:pPr>
              <w:spacing w:line="600" w:lineRule="exact"/>
              <w:jc w:val="center"/>
            </w:pPr>
          </w:p>
        </w:tc>
      </w:tr>
      <w:tr w14:paraId="5461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71" w:type="dxa"/>
          </w:tcPr>
          <w:p w14:paraId="30D6FE55">
            <w:pPr>
              <w:spacing w:line="600" w:lineRule="exact"/>
              <w:jc w:val="center"/>
            </w:pPr>
            <w:r>
              <w:rPr>
                <w:rFonts w:hint="eastAsia"/>
              </w:rPr>
              <w:t>电话</w:t>
            </w:r>
          </w:p>
        </w:tc>
        <w:tc>
          <w:tcPr>
            <w:tcW w:w="7398" w:type="dxa"/>
            <w:gridSpan w:val="3"/>
          </w:tcPr>
          <w:p w14:paraId="42E7DEF7">
            <w:pPr>
              <w:spacing w:line="600" w:lineRule="exact"/>
              <w:jc w:val="center"/>
            </w:pPr>
          </w:p>
        </w:tc>
      </w:tr>
      <w:tr w14:paraId="0346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25" w:type="dxa"/>
            <w:gridSpan w:val="3"/>
            <w:vAlign w:val="center"/>
          </w:tcPr>
          <w:p w14:paraId="3D5D1A10">
            <w:pPr>
              <w:spacing w:line="600" w:lineRule="exact"/>
              <w:jc w:val="center"/>
            </w:pPr>
            <w:r>
              <w:rPr>
                <w:rFonts w:hint="eastAsia"/>
              </w:rPr>
              <w:t>服务内容及要求</w:t>
            </w:r>
          </w:p>
        </w:tc>
        <w:tc>
          <w:tcPr>
            <w:tcW w:w="1444" w:type="dxa"/>
            <w:vAlign w:val="center"/>
          </w:tcPr>
          <w:p w14:paraId="37BDB147">
            <w:pPr>
              <w:spacing w:line="600" w:lineRule="exact"/>
              <w:jc w:val="center"/>
            </w:pPr>
            <w:r>
              <w:rPr>
                <w:rFonts w:hint="eastAsia"/>
              </w:rPr>
              <w:t>是否响应</w:t>
            </w:r>
          </w:p>
        </w:tc>
      </w:tr>
      <w:tr w14:paraId="6852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225" w:type="dxa"/>
            <w:gridSpan w:val="3"/>
            <w:vAlign w:val="center"/>
          </w:tcPr>
          <w:p w14:paraId="2273F52A">
            <w:pPr>
              <w:pStyle w:val="3"/>
              <w:keepNext w:val="0"/>
              <w:keepLines w:val="0"/>
              <w:widowControl/>
              <w:suppressLineNumbers w:val="0"/>
              <w:spacing w:before="75" w:beforeAutospacing="0" w:after="75" w:afterAutospacing="0" w:line="600" w:lineRule="atLeast"/>
              <w:ind w:left="0" w:right="0" w:firstLine="645"/>
              <w:rPr>
                <w:rFonts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一、服务</w:t>
            </w:r>
            <w:r>
              <w:rPr>
                <w:rFonts w:hint="eastAsia" w:ascii="仿宋_GB2312" w:hAnsi="宋体" w:eastAsia="仿宋_GB2312" w:cs="仿宋_GB2312"/>
                <w:i w:val="0"/>
                <w:iCs w:val="0"/>
                <w:caps w:val="0"/>
                <w:color w:val="000000"/>
                <w:spacing w:val="0"/>
                <w:sz w:val="31"/>
                <w:szCs w:val="31"/>
              </w:rPr>
              <w:t>内容：</w:t>
            </w:r>
            <w:r>
              <w:rPr>
                <w:rFonts w:hint="default" w:ascii="仿宋_GB2312" w:hAnsi="宋体" w:eastAsia="仿宋_GB2312" w:cs="仿宋_GB2312"/>
                <w:i w:val="0"/>
                <w:iCs w:val="0"/>
                <w:caps w:val="0"/>
                <w:color w:val="000000"/>
                <w:spacing w:val="0"/>
                <w:sz w:val="31"/>
                <w:szCs w:val="31"/>
              </w:rPr>
              <w:t>为</w:t>
            </w:r>
            <w:r>
              <w:rPr>
                <w:rFonts w:hint="default" w:ascii="仿宋_GB2312" w:hAnsi="sans-serif" w:eastAsia="仿宋_GB2312" w:cs="仿宋_GB2312"/>
                <w:i w:val="0"/>
                <w:iCs w:val="0"/>
                <w:caps w:val="0"/>
                <w:color w:val="000000"/>
                <w:spacing w:val="0"/>
                <w:sz w:val="31"/>
                <w:szCs w:val="31"/>
              </w:rPr>
              <w:t>“成都建设具有全球影响力的现代化国际大都市年度评估报告（</w:t>
            </w:r>
            <w:r>
              <w:rPr>
                <w:rFonts w:hint="default" w:ascii="Times New Roman" w:hAnsi="Times New Roman" w:eastAsia="仿宋_GB2312" w:cs="Times New Roman"/>
                <w:i w:val="0"/>
                <w:iCs w:val="0"/>
                <w:caps w:val="0"/>
                <w:color w:val="000000"/>
                <w:spacing w:val="0"/>
                <w:sz w:val="31"/>
                <w:szCs w:val="31"/>
              </w:rPr>
              <w:t>2025</w:t>
            </w:r>
            <w:r>
              <w:rPr>
                <w:rFonts w:hint="default" w:ascii="仿宋_GB2312" w:hAnsi="sans-serif" w:eastAsia="仿宋_GB2312" w:cs="仿宋_GB2312"/>
                <w:i w:val="0"/>
                <w:iCs w:val="0"/>
                <w:caps w:val="0"/>
                <w:color w:val="000000"/>
                <w:spacing w:val="0"/>
                <w:sz w:val="31"/>
                <w:szCs w:val="31"/>
              </w:rPr>
              <w:t>）”项目提供相关咨询服</w:t>
            </w:r>
            <w:bookmarkStart w:id="0" w:name="_GoBack"/>
            <w:bookmarkEnd w:id="0"/>
            <w:r>
              <w:rPr>
                <w:rFonts w:hint="default" w:ascii="仿宋_GB2312" w:hAnsi="sans-serif" w:eastAsia="仿宋_GB2312" w:cs="仿宋_GB2312"/>
                <w:i w:val="0"/>
                <w:iCs w:val="0"/>
                <w:caps w:val="0"/>
                <w:color w:val="000000"/>
                <w:spacing w:val="0"/>
                <w:sz w:val="31"/>
                <w:szCs w:val="31"/>
              </w:rPr>
              <w:t>务</w:t>
            </w:r>
            <w:r>
              <w:rPr>
                <w:rFonts w:hint="default" w:ascii="仿宋_GB2312" w:hAnsi="Times New Roman" w:eastAsia="仿宋_GB2312" w:cs="仿宋_GB2312"/>
                <w:i w:val="0"/>
                <w:iCs w:val="0"/>
                <w:caps w:val="0"/>
                <w:color w:val="000000"/>
                <w:spacing w:val="0"/>
                <w:sz w:val="31"/>
                <w:szCs w:val="31"/>
              </w:rPr>
              <w:t>，具体包括：</w:t>
            </w:r>
            <w:r>
              <w:rPr>
                <w:rFonts w:hint="default" w:ascii="仿宋_GB2312" w:hAnsi="sans-serif" w:eastAsia="仿宋_GB2312" w:cs="仿宋_GB2312"/>
                <w:i w:val="0"/>
                <w:iCs w:val="0"/>
                <w:caps w:val="0"/>
                <w:color w:val="000000"/>
                <w:spacing w:val="0"/>
                <w:sz w:val="31"/>
                <w:szCs w:val="31"/>
              </w:rPr>
              <w:t>一是围绕经济功能、创新功能、国际交往功能、文化功能、宜居功能五大维度，构建具有前瞻性、国际可比性、数据可行性和系统全面性的评估指标体系。二是基于构建的指标体系，对全球对标城市进行量化评分和排名，绘制综合得分与排名全景图。精准定位成都在国内外对标城市中的综合排名区间，明确其具体得分。剖析成都得分显著高于平均水平的核心功能维度，同时指出得分明显低于对标城市平均水平的关键功能维度。三是围绕经济功能、创新功能、国际交往功能、文化功能、宜居功能五大维度对现代化国际大都市分项评估。四是现代化国际大都市趋势展望与成都的挑战应对。深入剖析成都建设现代化国际大都市面临的核心挑战，明确战略定位再聚焦的主攻方向，提出核心功能突破的重大行动，确保成都在建设社会主义现代化国际大都市进程中有效应对挑战。</w:t>
            </w:r>
          </w:p>
          <w:p w14:paraId="587797D9">
            <w:pPr>
              <w:pStyle w:val="3"/>
              <w:keepNext w:val="0"/>
              <w:keepLines w:val="0"/>
              <w:widowControl/>
              <w:suppressLineNumbers w:val="0"/>
              <w:spacing w:before="75" w:beforeAutospacing="0" w:after="75" w:afterAutospacing="0" w:line="600" w:lineRule="atLeast"/>
              <w:ind w:left="0" w:right="0" w:firstLine="645"/>
              <w:rPr>
                <w:rFonts w:ascii="Times New Roman" w:hAnsi="Times New Roman" w:eastAsia="仿宋_GB2312" w:cs="Times New Roman"/>
                <w:sz w:val="24"/>
                <w:szCs w:val="24"/>
              </w:rPr>
            </w:pPr>
            <w:r>
              <w:rPr>
                <w:rFonts w:hint="default" w:ascii="仿宋_GB2312" w:hAnsi="sans-serif" w:eastAsia="仿宋_GB2312" w:cs="仿宋_GB2312"/>
                <w:i w:val="0"/>
                <w:iCs w:val="0"/>
                <w:caps w:val="0"/>
                <w:color w:val="000000"/>
                <w:spacing w:val="0"/>
                <w:sz w:val="31"/>
                <w:szCs w:val="31"/>
              </w:rPr>
              <w:t>二、服务要求：一是紧密结合各级政府要求。严格遵循中央、四川省和成都市关于城市发展、国际化建设的政策导向和战略规划，确保研究报告符合政府部门对成都建设社会主义现代化国际大都市的发展要求，体现政策的引领性和指导性。二是研究数据要扎实。数据来源必须权威可靠，优先采用国际组织、官方统计、专业机构发布的权威数据，如</w:t>
            </w:r>
            <w:r>
              <w:rPr>
                <w:rFonts w:hint="default" w:ascii="Times New Roman" w:hAnsi="Times New Roman" w:eastAsia="仿宋_GB2312" w:cs="Times New Roman"/>
                <w:i w:val="0"/>
                <w:iCs w:val="0"/>
                <w:caps w:val="0"/>
                <w:color w:val="000000"/>
                <w:spacing w:val="0"/>
                <w:sz w:val="31"/>
                <w:szCs w:val="31"/>
              </w:rPr>
              <w:t>GaWC</w:t>
            </w:r>
            <w:r>
              <w:rPr>
                <w:rFonts w:hint="default" w:ascii="仿宋_GB2312" w:hAnsi="sans-serif" w:eastAsia="仿宋_GB2312" w:cs="仿宋_GB2312"/>
                <w:i w:val="0"/>
                <w:iCs w:val="0"/>
                <w:caps w:val="0"/>
                <w:color w:val="000000"/>
                <w:spacing w:val="0"/>
                <w:sz w:val="31"/>
                <w:szCs w:val="31"/>
              </w:rPr>
              <w:t>网络连通性指数、</w:t>
            </w:r>
            <w:r>
              <w:rPr>
                <w:rFonts w:hint="default" w:ascii="Times New Roman" w:hAnsi="Times New Roman" w:eastAsia="仿宋_GB2312" w:cs="Times New Roman"/>
                <w:i w:val="0"/>
                <w:iCs w:val="0"/>
                <w:caps w:val="0"/>
                <w:color w:val="000000"/>
                <w:spacing w:val="0"/>
                <w:sz w:val="31"/>
                <w:szCs w:val="31"/>
              </w:rPr>
              <w:t>GFCI</w:t>
            </w:r>
            <w:r>
              <w:rPr>
                <w:rFonts w:hint="default" w:ascii="仿宋_GB2312" w:hAnsi="sans-serif" w:eastAsia="仿宋_GB2312" w:cs="仿宋_GB2312"/>
                <w:i w:val="0"/>
                <w:iCs w:val="0"/>
                <w:caps w:val="0"/>
                <w:color w:val="000000"/>
                <w:spacing w:val="0"/>
                <w:sz w:val="31"/>
                <w:szCs w:val="31"/>
              </w:rPr>
              <w:t>全球金融中心指数等。建立严谨的数据收集、整理和分析流程，确保数据的真实性、准确性和完整性，为研究结论提供坚实的数据支撑。三是研究方法要科学。综合运用定量分析和定性研究方法。定量分析采用指标体系量化评分、城市横向比较等方式，确保评估结果的客观性和可比性；定性研究运用案例剖析、趋势研判等手段，深入挖掘城市发展的内在规律和潜在问题。通过多种研究方法的有机结合，提高研究报告的科学性和可靠性。四是研究结果要可解读、能建言。研究报告的内容应逻辑清晰、语言简洁，便于政府部门和社会各界理解。研究结论要明确指出成都建设现代化国际大都市的优势、不足和发展方向，提出具有针对性、可操作性的政策建议，为政府决策提供切实有效的智力支持。  </w:t>
            </w:r>
          </w:p>
        </w:tc>
        <w:tc>
          <w:tcPr>
            <w:tcW w:w="1444" w:type="dxa"/>
            <w:vAlign w:val="center"/>
          </w:tcPr>
          <w:p w14:paraId="39F0DCC8">
            <w:pPr>
              <w:spacing w:line="600" w:lineRule="exact"/>
              <w:jc w:val="center"/>
            </w:pPr>
            <w:r>
              <w:rPr>
                <w:rFonts w:hint="eastAsia"/>
              </w:rPr>
              <w:t>是/否</w:t>
            </w:r>
          </w:p>
        </w:tc>
      </w:tr>
      <w:tr w14:paraId="1E8B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71" w:type="dxa"/>
            <w:vMerge w:val="restart"/>
            <w:vAlign w:val="center"/>
          </w:tcPr>
          <w:p w14:paraId="4B262B81">
            <w:pPr>
              <w:spacing w:line="600" w:lineRule="exact"/>
              <w:jc w:val="center"/>
            </w:pPr>
            <w:r>
              <w:rPr>
                <w:rFonts w:hint="eastAsia"/>
              </w:rPr>
              <w:t>报价</w:t>
            </w:r>
          </w:p>
        </w:tc>
        <w:tc>
          <w:tcPr>
            <w:tcW w:w="2977" w:type="dxa"/>
            <w:vAlign w:val="center"/>
          </w:tcPr>
          <w:p w14:paraId="125FD26D">
            <w:pPr>
              <w:spacing w:line="600" w:lineRule="exact"/>
              <w:jc w:val="center"/>
              <w:rPr>
                <w:rFonts w:hint="default" w:eastAsiaTheme="minorEastAsia"/>
                <w:lang w:val="en-US" w:eastAsia="zh-CN"/>
              </w:rPr>
            </w:pPr>
            <w:r>
              <w:rPr>
                <w:rFonts w:hint="eastAsia"/>
                <w:lang w:val="en-US" w:eastAsia="zh-CN"/>
              </w:rPr>
              <w:t>XX费用（若有）</w:t>
            </w:r>
          </w:p>
        </w:tc>
        <w:tc>
          <w:tcPr>
            <w:tcW w:w="4421" w:type="dxa"/>
            <w:gridSpan w:val="2"/>
            <w:vAlign w:val="center"/>
          </w:tcPr>
          <w:p w14:paraId="01185BEB">
            <w:pPr>
              <w:spacing w:line="600" w:lineRule="exact"/>
              <w:jc w:val="center"/>
            </w:pPr>
            <w:r>
              <w:rPr>
                <w:rFonts w:hint="eastAsia"/>
              </w:rPr>
              <w:t xml:space="preserve">大写：人民币 </w:t>
            </w:r>
            <w:r>
              <w:rPr>
                <w:u w:val="single"/>
              </w:rPr>
              <w:t xml:space="preserve">     </w:t>
            </w:r>
            <w:r>
              <w:rPr>
                <w:rFonts w:hint="eastAsia"/>
              </w:rPr>
              <w:t>元/年</w:t>
            </w:r>
            <w:r>
              <w:t xml:space="preserve">     </w:t>
            </w:r>
            <w:r>
              <w:rPr>
                <w:rFonts w:hint="eastAsia"/>
              </w:rPr>
              <w:t>小写：</w:t>
            </w:r>
            <w:r>
              <w:rPr>
                <w:rFonts w:hint="eastAsia" w:ascii="Microsoft YaHei UI" w:hAnsi="Microsoft YaHei UI" w:eastAsia="Microsoft YaHei UI"/>
                <w:szCs w:val="21"/>
              </w:rPr>
              <w:t>¥</w:t>
            </w:r>
          </w:p>
        </w:tc>
      </w:tr>
      <w:tr w14:paraId="062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71" w:type="dxa"/>
            <w:vMerge w:val="continue"/>
            <w:vAlign w:val="center"/>
          </w:tcPr>
          <w:p w14:paraId="55E49CE4">
            <w:pPr>
              <w:spacing w:line="600" w:lineRule="exact"/>
              <w:jc w:val="center"/>
            </w:pPr>
          </w:p>
        </w:tc>
        <w:tc>
          <w:tcPr>
            <w:tcW w:w="2977" w:type="dxa"/>
            <w:vAlign w:val="center"/>
          </w:tcPr>
          <w:p w14:paraId="3E63B666">
            <w:pPr>
              <w:spacing w:line="600" w:lineRule="exact"/>
              <w:jc w:val="center"/>
              <w:rPr>
                <w:rFonts w:hint="default" w:eastAsiaTheme="minorEastAsia"/>
                <w:lang w:val="en-US" w:eastAsia="zh-CN"/>
              </w:rPr>
            </w:pPr>
            <w:r>
              <w:rPr>
                <w:rFonts w:hint="eastAsia"/>
                <w:lang w:val="en-US" w:eastAsia="zh-CN"/>
              </w:rPr>
              <w:t>其他费用（若有）</w:t>
            </w:r>
          </w:p>
        </w:tc>
        <w:tc>
          <w:tcPr>
            <w:tcW w:w="4421" w:type="dxa"/>
            <w:gridSpan w:val="2"/>
            <w:vAlign w:val="center"/>
          </w:tcPr>
          <w:p w14:paraId="125947DD">
            <w:pPr>
              <w:spacing w:line="600" w:lineRule="exact"/>
              <w:jc w:val="center"/>
            </w:pPr>
            <w:r>
              <w:rPr>
                <w:rFonts w:hint="eastAsia"/>
              </w:rPr>
              <w:t xml:space="preserve">大写：人民币 </w:t>
            </w:r>
            <w:r>
              <w:rPr>
                <w:u w:val="single"/>
              </w:rPr>
              <w:t xml:space="preserve">     </w:t>
            </w:r>
            <w:r>
              <w:rPr>
                <w:rFonts w:hint="eastAsia"/>
              </w:rPr>
              <w:t xml:space="preserve">元/年 </w:t>
            </w:r>
            <w:r>
              <w:t xml:space="preserve">     </w:t>
            </w:r>
            <w:r>
              <w:rPr>
                <w:rFonts w:hint="eastAsia"/>
              </w:rPr>
              <w:t>小写：</w:t>
            </w:r>
            <w:r>
              <w:rPr>
                <w:rFonts w:hint="eastAsia" w:ascii="Microsoft YaHei UI" w:hAnsi="Microsoft YaHei UI" w:eastAsia="Microsoft YaHei UI"/>
                <w:szCs w:val="21"/>
              </w:rPr>
              <w:t>¥</w:t>
            </w:r>
          </w:p>
        </w:tc>
      </w:tr>
      <w:tr w14:paraId="0D3D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71" w:type="dxa"/>
            <w:vMerge w:val="continue"/>
            <w:vAlign w:val="center"/>
          </w:tcPr>
          <w:p w14:paraId="052012B3">
            <w:pPr>
              <w:spacing w:line="600" w:lineRule="exact"/>
              <w:jc w:val="center"/>
            </w:pPr>
          </w:p>
        </w:tc>
        <w:tc>
          <w:tcPr>
            <w:tcW w:w="2977" w:type="dxa"/>
            <w:vAlign w:val="center"/>
          </w:tcPr>
          <w:p w14:paraId="4A7DDCFC">
            <w:pPr>
              <w:spacing w:line="600" w:lineRule="exact"/>
              <w:jc w:val="center"/>
            </w:pPr>
            <w:r>
              <w:rPr>
                <w:rFonts w:hint="eastAsia" w:ascii="楷体_GB2312" w:hAnsi="Times New Roman" w:eastAsia="楷体_GB2312" w:cs="Times New Roman"/>
                <w:sz w:val="24"/>
                <w:szCs w:val="24"/>
              </w:rPr>
              <w:t>合计</w:t>
            </w:r>
          </w:p>
        </w:tc>
        <w:tc>
          <w:tcPr>
            <w:tcW w:w="4421" w:type="dxa"/>
            <w:gridSpan w:val="2"/>
            <w:vAlign w:val="center"/>
          </w:tcPr>
          <w:p w14:paraId="59939167">
            <w:pPr>
              <w:spacing w:line="600" w:lineRule="exact"/>
              <w:jc w:val="center"/>
            </w:pPr>
            <w:r>
              <w:rPr>
                <w:rFonts w:hint="eastAsia"/>
              </w:rPr>
              <w:t xml:space="preserve">大写：人民币 </w:t>
            </w:r>
            <w:r>
              <w:rPr>
                <w:u w:val="single"/>
              </w:rPr>
              <w:t xml:space="preserve">     </w:t>
            </w:r>
            <w:r>
              <w:rPr>
                <w:rFonts w:hint="eastAsia"/>
              </w:rPr>
              <w:t xml:space="preserve">元/年 </w:t>
            </w:r>
            <w:r>
              <w:t xml:space="preserve">     </w:t>
            </w:r>
            <w:r>
              <w:rPr>
                <w:rFonts w:hint="eastAsia"/>
              </w:rPr>
              <w:t>小写：</w:t>
            </w:r>
            <w:r>
              <w:rPr>
                <w:rFonts w:hint="eastAsia" w:ascii="Microsoft YaHei UI" w:hAnsi="Microsoft YaHei UI" w:eastAsia="Microsoft YaHei UI"/>
                <w:szCs w:val="21"/>
              </w:rPr>
              <w:t>¥</w:t>
            </w:r>
          </w:p>
        </w:tc>
      </w:tr>
    </w:tbl>
    <w:p w14:paraId="1E64C4E8">
      <w:r>
        <w:br w:type="page"/>
      </w:r>
    </w:p>
    <w:p w14:paraId="0E54FF99">
      <w:pPr>
        <w:rPr>
          <w:rFonts w:hint="default" w:eastAsiaTheme="minorEastAsia"/>
          <w:lang w:val="en-US" w:eastAsia="zh-CN"/>
        </w:rPr>
      </w:pPr>
      <w:r>
        <w:rPr>
          <w:rFonts w:hint="eastAsia"/>
          <w:lang w:val="en-US" w:eastAsia="zh-CN"/>
        </w:rPr>
        <w:t>营业执照复印件</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738748"/>
    </w:sdtPr>
    <w:sdtContent>
      <w:p w14:paraId="3E246E1E">
        <w:pPr>
          <w:pStyle w:val="2"/>
          <w:jc w:val="center"/>
        </w:pPr>
        <w:r>
          <w:fldChar w:fldCharType="begin"/>
        </w:r>
        <w:r>
          <w:instrText xml:space="preserve">PAGE   \* MERGEFORMAT</w:instrText>
        </w:r>
        <w:r>
          <w:fldChar w:fldCharType="separate"/>
        </w:r>
        <w:r>
          <w:rPr>
            <w:lang w:val="zh-CN"/>
          </w:rPr>
          <w:t>3</w:t>
        </w:r>
        <w:r>
          <w:fldChar w:fldCharType="end"/>
        </w:r>
      </w:p>
    </w:sdtContent>
  </w:sdt>
  <w:p w14:paraId="16A159D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Y2E3N2Q5YTAxZjRmMGIxMDA0MzI2Y2Q5MzJiZDQifQ=="/>
  </w:docVars>
  <w:rsids>
    <w:rsidRoot w:val="2631747D"/>
    <w:rsid w:val="002C7012"/>
    <w:rsid w:val="006F34CF"/>
    <w:rsid w:val="00837615"/>
    <w:rsid w:val="00AF2752"/>
    <w:rsid w:val="0543224C"/>
    <w:rsid w:val="072A555B"/>
    <w:rsid w:val="089217F9"/>
    <w:rsid w:val="095A394D"/>
    <w:rsid w:val="099C2723"/>
    <w:rsid w:val="0F831BBB"/>
    <w:rsid w:val="11BE722A"/>
    <w:rsid w:val="155C252C"/>
    <w:rsid w:val="1A93317F"/>
    <w:rsid w:val="1AD037B8"/>
    <w:rsid w:val="1E6A3736"/>
    <w:rsid w:val="21FC39C9"/>
    <w:rsid w:val="242C108B"/>
    <w:rsid w:val="2631747D"/>
    <w:rsid w:val="27CD2D0D"/>
    <w:rsid w:val="284E6B27"/>
    <w:rsid w:val="29763AFD"/>
    <w:rsid w:val="3288098E"/>
    <w:rsid w:val="36D030FB"/>
    <w:rsid w:val="372A5535"/>
    <w:rsid w:val="408A44AB"/>
    <w:rsid w:val="455B323F"/>
    <w:rsid w:val="4EDB70DA"/>
    <w:rsid w:val="540A7944"/>
    <w:rsid w:val="550903B8"/>
    <w:rsid w:val="58520C43"/>
    <w:rsid w:val="61AB2541"/>
    <w:rsid w:val="632C3741"/>
    <w:rsid w:val="6439494B"/>
    <w:rsid w:val="6952629B"/>
    <w:rsid w:val="6AEE0072"/>
    <w:rsid w:val="72833DE8"/>
    <w:rsid w:val="7A11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975</Words>
  <Characters>985</Characters>
  <Lines>5</Lines>
  <Paragraphs>1</Paragraphs>
  <TotalTime>14</TotalTime>
  <ScaleCrop>false</ScaleCrop>
  <LinksUpToDate>false</LinksUpToDate>
  <CharactersWithSpaces>1039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2023-10-26T03:01:00Z</dcterms:created>
  <dc:creator>aVc</dc:creator>
  <cp:lastModifiedBy>aVc</cp:lastModifiedBy>
  <cp:lastPrinted>2024-11-08T02:18:00Z</cp:lastPrinted>
  <dcterms:modified xsi:type="dcterms:W3CDTF">2025-09-16T07:18:32Z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168BCA8DF9A044F49CCF86BA039450A0_13</vt:lpwstr>
  </property>
  <property fmtid="{D5CDD505-2E9C-101B-9397-08002B2CF9AE}" pid="4" name="KSOTemplateDocerSaveRecord">
    <vt:lpwstr>eyJoZGlkIjoiMDRmZDRmZTUzMDJiNDYzMmYzOGE2MDQ2NzUzZDJhYmEiLCJ1c2VySWQiOiI0NTk4Nzg4NDQifQ==</vt:lpwstr>
  </property>
</Properties>
</file>